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DFE21" w14:textId="0CFF86B7" w:rsidR="009D6E09" w:rsidRDefault="00330C96" w:rsidP="00EC6F21">
      <w:pPr>
        <w:jc w:val="both"/>
        <w:rPr>
          <w:rFonts w:ascii="Times New Roman" w:hAnsi="Times New Roman" w:cs="Times New Roman"/>
          <w:b/>
          <w:bCs/>
          <w:sz w:val="24"/>
          <w:szCs w:val="24"/>
        </w:rPr>
      </w:pPr>
      <w:r w:rsidRPr="00330C96">
        <w:rPr>
          <w:rFonts w:ascii="Times New Roman" w:hAnsi="Times New Roman" w:cs="Times New Roman"/>
          <w:b/>
          <w:bCs/>
          <w:sz w:val="24"/>
          <w:szCs w:val="24"/>
        </w:rPr>
        <w:t>Kopsavilkums par SIA “VATS” noteiktajiem elektroenerģijas sadales  sistēmas pakalpojumu tarifiem</w:t>
      </w:r>
    </w:p>
    <w:p w14:paraId="19B204CC" w14:textId="77777777" w:rsidR="00330C96" w:rsidRDefault="00330C96">
      <w:pPr>
        <w:rPr>
          <w:rFonts w:ascii="Times New Roman" w:hAnsi="Times New Roman" w:cs="Times New Roman"/>
          <w:b/>
          <w:bCs/>
          <w:sz w:val="24"/>
          <w:szCs w:val="24"/>
        </w:rPr>
      </w:pPr>
    </w:p>
    <w:p w14:paraId="7C343CC3" w14:textId="22CC86AC" w:rsidR="00330C96" w:rsidRDefault="00330C96" w:rsidP="00330C96">
      <w:pPr>
        <w:jc w:val="both"/>
        <w:rPr>
          <w:rFonts w:ascii="Times New Roman" w:hAnsi="Times New Roman" w:cs="Times New Roman"/>
          <w:sz w:val="24"/>
          <w:szCs w:val="24"/>
        </w:rPr>
      </w:pPr>
      <w:r>
        <w:rPr>
          <w:rFonts w:ascii="Times New Roman" w:hAnsi="Times New Roman" w:cs="Times New Roman"/>
          <w:sz w:val="24"/>
          <w:szCs w:val="24"/>
        </w:rPr>
        <w:t>SIA “VATS” (turpmāk – Operators) ar 2023.gada 2.novembra Sabiedrisko pakalpojumu regulēšanas komisijas (turpmāk – Regulators) lēmumu Nr.122 “Par sabiedrības ar ierobežotu atbildību “VATS” elektroenerģijas sadales sistēmas pakalpojumu tarifiem”</w:t>
      </w:r>
      <w:r w:rsidR="00432E47">
        <w:rPr>
          <w:rFonts w:ascii="Times New Roman" w:hAnsi="Times New Roman" w:cs="Times New Roman"/>
          <w:sz w:val="24"/>
          <w:szCs w:val="24"/>
        </w:rPr>
        <w:t xml:space="preserve"> (turpmāk  - Lēmums)</w:t>
      </w:r>
      <w:r>
        <w:rPr>
          <w:rFonts w:ascii="Times New Roman" w:hAnsi="Times New Roman" w:cs="Times New Roman"/>
          <w:sz w:val="24"/>
          <w:szCs w:val="24"/>
        </w:rPr>
        <w:t xml:space="preserve"> tika apstiprināti elektroenerģijas sadales sistēmas pakalpojumu tarifi, kas stājās spēkā 2023.gada 3.decembrī</w:t>
      </w:r>
      <w:r w:rsidR="00C7082F">
        <w:rPr>
          <w:rFonts w:ascii="Times New Roman" w:hAnsi="Times New Roman" w:cs="Times New Roman"/>
          <w:sz w:val="24"/>
          <w:szCs w:val="24"/>
        </w:rPr>
        <w:t xml:space="preserve"> ar regulatīvo periodu no 2023.gada 3.decembra līdz 2026.gada 31.decembrim.</w:t>
      </w:r>
    </w:p>
    <w:p w14:paraId="595DE231" w14:textId="77777777" w:rsidR="00BC674C" w:rsidRDefault="00432E47" w:rsidP="00BC67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Atbilstoši Regulatora 2023.gada 2.novembra Lēmuma </w:t>
      </w:r>
      <w:r w:rsidR="00BC674C">
        <w:rPr>
          <w:rFonts w:ascii="Times New Roman" w:hAnsi="Times New Roman" w:cs="Times New Roman"/>
          <w:sz w:val="24"/>
          <w:szCs w:val="24"/>
        </w:rPr>
        <w:t>lemjošās daļas 5.punktam Regulators</w:t>
      </w:r>
    </w:p>
    <w:p w14:paraId="7CE8B101" w14:textId="77777777" w:rsidR="00BC674C" w:rsidRDefault="00BC674C" w:rsidP="00BC674C">
      <w:pPr>
        <w:spacing w:after="0" w:line="240" w:lineRule="auto"/>
        <w:jc w:val="both"/>
        <w:rPr>
          <w:rFonts w:ascii="Times New Roman" w:hAnsi="Times New Roman" w:cs="Times New Roman"/>
          <w:sz w:val="24"/>
          <w:szCs w:val="24"/>
        </w:rPr>
      </w:pPr>
      <w:r w:rsidRPr="00BC674C">
        <w:rPr>
          <w:rFonts w:ascii="Times New Roman" w:hAnsi="Times New Roman" w:cs="Times New Roman"/>
          <w:sz w:val="24"/>
          <w:szCs w:val="24"/>
        </w:rPr>
        <w:t xml:space="preserve">ir piešķīris atļauju Operatoram pašam noteikt elektroenerģijas sadales sistēmas pakalpojumu diferencētos tarifus, ja nepieciešams veikt plānoto ieņēmumu korekciju. </w:t>
      </w:r>
    </w:p>
    <w:p w14:paraId="4B865A88" w14:textId="77777777" w:rsidR="00BC674C" w:rsidRDefault="00BC674C" w:rsidP="00BC674C">
      <w:pPr>
        <w:spacing w:after="0" w:line="240" w:lineRule="auto"/>
        <w:jc w:val="both"/>
        <w:rPr>
          <w:rFonts w:ascii="Times New Roman" w:hAnsi="Times New Roman" w:cs="Times New Roman"/>
          <w:sz w:val="24"/>
          <w:szCs w:val="24"/>
        </w:rPr>
      </w:pPr>
    </w:p>
    <w:p w14:paraId="7F50CD10" w14:textId="14CE924D" w:rsidR="00C7082F" w:rsidRDefault="00BC674C" w:rsidP="00BC67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Noteikta tarifa izmaiņas ir saistītas ar </w:t>
      </w:r>
      <w:r w:rsidRPr="00BC674C">
        <w:rPr>
          <w:rFonts w:ascii="Times New Roman" w:hAnsi="Times New Roman" w:cs="Times New Roman"/>
          <w:sz w:val="24"/>
          <w:szCs w:val="24"/>
        </w:rPr>
        <w:t>faktisk</w:t>
      </w:r>
      <w:r>
        <w:rPr>
          <w:rFonts w:ascii="Times New Roman" w:hAnsi="Times New Roman" w:cs="Times New Roman"/>
          <w:sz w:val="24"/>
          <w:szCs w:val="24"/>
        </w:rPr>
        <w:t>ā</w:t>
      </w:r>
      <w:r w:rsidRPr="00BC674C">
        <w:rPr>
          <w:rFonts w:ascii="Times New Roman" w:hAnsi="Times New Roman" w:cs="Times New Roman"/>
          <w:sz w:val="24"/>
          <w:szCs w:val="24"/>
        </w:rPr>
        <w:t xml:space="preserve"> tīklā sadalītā elektroenerģijas apjom</w:t>
      </w:r>
      <w:r>
        <w:rPr>
          <w:rFonts w:ascii="Times New Roman" w:hAnsi="Times New Roman" w:cs="Times New Roman"/>
          <w:sz w:val="24"/>
          <w:szCs w:val="24"/>
        </w:rPr>
        <w:t>a</w:t>
      </w:r>
      <w:r w:rsidR="00110E73">
        <w:rPr>
          <w:rFonts w:ascii="Times New Roman" w:hAnsi="Times New Roman" w:cs="Times New Roman"/>
          <w:sz w:val="24"/>
          <w:szCs w:val="24"/>
        </w:rPr>
        <w:t xml:space="preserve"> samazinājuma</w:t>
      </w:r>
      <w:r w:rsidR="00203902">
        <w:rPr>
          <w:rFonts w:ascii="Times New Roman" w:hAnsi="Times New Roman" w:cs="Times New Roman"/>
          <w:sz w:val="24"/>
          <w:szCs w:val="24"/>
        </w:rPr>
        <w:t xml:space="preserve"> par 37%</w:t>
      </w:r>
      <w:r w:rsidRPr="00BC674C">
        <w:rPr>
          <w:rFonts w:ascii="Times New Roman" w:hAnsi="Times New Roman" w:cs="Times New Roman"/>
          <w:sz w:val="24"/>
          <w:szCs w:val="24"/>
        </w:rPr>
        <w:t xml:space="preserve"> </w:t>
      </w:r>
      <w:r w:rsidR="00325561">
        <w:rPr>
          <w:rFonts w:ascii="Times New Roman" w:hAnsi="Times New Roman" w:cs="Times New Roman"/>
          <w:sz w:val="24"/>
          <w:szCs w:val="24"/>
        </w:rPr>
        <w:t>ne</w:t>
      </w:r>
      <w:r w:rsidR="00325561" w:rsidRPr="00BC674C">
        <w:rPr>
          <w:rFonts w:ascii="Times New Roman" w:hAnsi="Times New Roman" w:cs="Times New Roman"/>
          <w:sz w:val="24"/>
          <w:szCs w:val="24"/>
        </w:rPr>
        <w:t>kā</w:t>
      </w:r>
      <w:r w:rsidR="00325561">
        <w:rPr>
          <w:rFonts w:ascii="Times New Roman" w:hAnsi="Times New Roman" w:cs="Times New Roman"/>
          <w:sz w:val="24"/>
          <w:szCs w:val="24"/>
        </w:rPr>
        <w:t xml:space="preserve"> tas bija </w:t>
      </w:r>
      <w:r w:rsidR="00D60AEB">
        <w:rPr>
          <w:rFonts w:ascii="Times New Roman" w:hAnsi="Times New Roman" w:cs="Times New Roman"/>
          <w:sz w:val="24"/>
          <w:szCs w:val="24"/>
        </w:rPr>
        <w:t>plānots</w:t>
      </w:r>
      <w:r w:rsidR="00325561">
        <w:rPr>
          <w:rFonts w:ascii="Times New Roman" w:hAnsi="Times New Roman" w:cs="Times New Roman"/>
          <w:sz w:val="24"/>
          <w:szCs w:val="24"/>
        </w:rPr>
        <w:t xml:space="preserve"> tarifu projektā</w:t>
      </w:r>
      <w:r w:rsidR="00D60AEB">
        <w:rPr>
          <w:rFonts w:ascii="Times New Roman" w:hAnsi="Times New Roman" w:cs="Times New Roman"/>
          <w:sz w:val="24"/>
          <w:szCs w:val="24"/>
        </w:rPr>
        <w:t>.</w:t>
      </w:r>
      <w:r w:rsidR="00325561" w:rsidRPr="00BC674C">
        <w:rPr>
          <w:rFonts w:ascii="Times New Roman" w:hAnsi="Times New Roman" w:cs="Times New Roman"/>
          <w:sz w:val="24"/>
          <w:szCs w:val="24"/>
        </w:rPr>
        <w:t xml:space="preserve"> </w:t>
      </w:r>
      <w:r>
        <w:rPr>
          <w:rFonts w:ascii="Times New Roman" w:hAnsi="Times New Roman" w:cs="Times New Roman"/>
          <w:sz w:val="24"/>
          <w:szCs w:val="24"/>
        </w:rPr>
        <w:t>F</w:t>
      </w:r>
      <w:r w:rsidRPr="00BC674C">
        <w:rPr>
          <w:rFonts w:ascii="Times New Roman" w:hAnsi="Times New Roman" w:cs="Times New Roman"/>
          <w:sz w:val="24"/>
          <w:szCs w:val="24"/>
        </w:rPr>
        <w:t>aktisk</w:t>
      </w:r>
      <w:r w:rsidR="002E00B3">
        <w:rPr>
          <w:rFonts w:ascii="Times New Roman" w:hAnsi="Times New Roman" w:cs="Times New Roman"/>
          <w:sz w:val="24"/>
          <w:szCs w:val="24"/>
        </w:rPr>
        <w:t>ie</w:t>
      </w:r>
      <w:r w:rsidRPr="00BC674C">
        <w:rPr>
          <w:rFonts w:ascii="Times New Roman" w:hAnsi="Times New Roman" w:cs="Times New Roman"/>
          <w:sz w:val="24"/>
          <w:szCs w:val="24"/>
        </w:rPr>
        <w:t xml:space="preserve"> ieņēmum</w:t>
      </w:r>
      <w:r w:rsidR="002E00B3">
        <w:rPr>
          <w:rFonts w:ascii="Times New Roman" w:hAnsi="Times New Roman" w:cs="Times New Roman"/>
          <w:sz w:val="24"/>
          <w:szCs w:val="24"/>
        </w:rPr>
        <w:t>i</w:t>
      </w:r>
      <w:r w:rsidRPr="00BC674C">
        <w:rPr>
          <w:rFonts w:ascii="Times New Roman" w:hAnsi="Times New Roman" w:cs="Times New Roman"/>
          <w:sz w:val="24"/>
          <w:szCs w:val="24"/>
        </w:rPr>
        <w:t xml:space="preserve"> laika periodā kopš 2023. gada 3. decembra (esošā tarifa perioda spēkā stāšanās datums) līdz 2024. gada 31. augustam un prognozētie ieņēmumi laika periodam no 2024. gada 1. septembra līdz 2024. gada 31. decembrim ir par 20% procentiem mazāki kā šajos periodos sākotnēji plānotie ieņēmumi.</w:t>
      </w:r>
    </w:p>
    <w:p w14:paraId="61526D46" w14:textId="77777777" w:rsidR="00BC674C" w:rsidRDefault="00BC674C" w:rsidP="00BC674C">
      <w:pPr>
        <w:spacing w:after="0" w:line="240" w:lineRule="auto"/>
        <w:jc w:val="both"/>
        <w:rPr>
          <w:rFonts w:ascii="Times New Roman" w:hAnsi="Times New Roman" w:cs="Times New Roman"/>
          <w:sz w:val="24"/>
          <w:szCs w:val="24"/>
        </w:rPr>
      </w:pPr>
    </w:p>
    <w:p w14:paraId="058900BE" w14:textId="55B86101" w:rsidR="00BC674C" w:rsidRDefault="00BC674C" w:rsidP="00BC67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Ņemot vērā visu augstāk minēto, Operators ir veicis 2023.gada </w:t>
      </w:r>
      <w:r w:rsidR="00B92EFC">
        <w:rPr>
          <w:rFonts w:ascii="Times New Roman" w:hAnsi="Times New Roman" w:cs="Times New Roman"/>
          <w:sz w:val="24"/>
          <w:szCs w:val="24"/>
        </w:rPr>
        <w:t>2</w:t>
      </w:r>
      <w:r>
        <w:rPr>
          <w:rFonts w:ascii="Times New Roman" w:hAnsi="Times New Roman" w:cs="Times New Roman"/>
          <w:sz w:val="24"/>
          <w:szCs w:val="24"/>
        </w:rPr>
        <w:t>.</w:t>
      </w:r>
      <w:r w:rsidR="00B92EFC">
        <w:rPr>
          <w:rFonts w:ascii="Times New Roman" w:hAnsi="Times New Roman" w:cs="Times New Roman"/>
          <w:sz w:val="24"/>
          <w:szCs w:val="24"/>
        </w:rPr>
        <w:t>novembr</w:t>
      </w:r>
      <w:r>
        <w:rPr>
          <w:rFonts w:ascii="Times New Roman" w:hAnsi="Times New Roman" w:cs="Times New Roman"/>
          <w:sz w:val="24"/>
          <w:szCs w:val="24"/>
        </w:rPr>
        <w:t>ī apstiprināto elektroenerģijas sadales sistēmas pakalpojumu diferencēto tarifu pārrēķinu, palielinot prognozētos ieņēmumus nākošajā tarifu periodā par</w:t>
      </w:r>
      <w:r w:rsidR="001D0FF3">
        <w:rPr>
          <w:rFonts w:ascii="Times New Roman" w:hAnsi="Times New Roman" w:cs="Times New Roman"/>
          <w:sz w:val="24"/>
          <w:szCs w:val="24"/>
        </w:rPr>
        <w:t xml:space="preserve"> </w:t>
      </w:r>
      <w:r w:rsidR="00DF1876">
        <w:rPr>
          <w:rFonts w:ascii="Times New Roman" w:hAnsi="Times New Roman" w:cs="Times New Roman"/>
          <w:sz w:val="24"/>
          <w:szCs w:val="24"/>
        </w:rPr>
        <w:t>23 019,26</w:t>
      </w:r>
      <w:r w:rsidR="001D0FF3">
        <w:rPr>
          <w:rFonts w:ascii="Times New Roman" w:hAnsi="Times New Roman" w:cs="Times New Roman"/>
          <w:sz w:val="24"/>
          <w:szCs w:val="24"/>
        </w:rPr>
        <w:t xml:space="preserve"> </w:t>
      </w:r>
      <w:r w:rsidR="001D0FF3" w:rsidRPr="001D0FF3">
        <w:rPr>
          <w:rFonts w:ascii="Times New Roman" w:hAnsi="Times New Roman" w:cs="Times New Roman"/>
          <w:i/>
          <w:iCs/>
          <w:sz w:val="24"/>
          <w:szCs w:val="24"/>
        </w:rPr>
        <w:t>euro</w:t>
      </w:r>
      <w:r w:rsidR="00DF1876">
        <w:rPr>
          <w:rFonts w:ascii="Times New Roman" w:hAnsi="Times New Roman" w:cs="Times New Roman"/>
          <w:sz w:val="24"/>
          <w:szCs w:val="24"/>
        </w:rPr>
        <w:t>. Nākošais tarifu periods ir no 2025.gada 1.janvāra līdz 2025.gada 31.decembrim, attiecīgi Operatora noteikt</w:t>
      </w:r>
      <w:r w:rsidR="00A8699F">
        <w:rPr>
          <w:rFonts w:ascii="Times New Roman" w:hAnsi="Times New Roman" w:cs="Times New Roman"/>
          <w:sz w:val="24"/>
          <w:szCs w:val="24"/>
        </w:rPr>
        <w:t>ie</w:t>
      </w:r>
      <w:r w:rsidR="00DF1876">
        <w:rPr>
          <w:rFonts w:ascii="Times New Roman" w:hAnsi="Times New Roman" w:cs="Times New Roman"/>
          <w:sz w:val="24"/>
          <w:szCs w:val="24"/>
        </w:rPr>
        <w:t xml:space="preserve"> elektroenerģijas sadales sistēmas pakalpojumu diferencēt</w:t>
      </w:r>
      <w:r w:rsidR="00A8699F">
        <w:rPr>
          <w:rFonts w:ascii="Times New Roman" w:hAnsi="Times New Roman" w:cs="Times New Roman"/>
          <w:sz w:val="24"/>
          <w:szCs w:val="24"/>
        </w:rPr>
        <w:t>ie</w:t>
      </w:r>
      <w:r w:rsidR="00DF1876">
        <w:rPr>
          <w:rFonts w:ascii="Times New Roman" w:hAnsi="Times New Roman" w:cs="Times New Roman"/>
          <w:sz w:val="24"/>
          <w:szCs w:val="24"/>
        </w:rPr>
        <w:t xml:space="preserve"> tarif</w:t>
      </w:r>
      <w:r w:rsidR="00A8699F">
        <w:rPr>
          <w:rFonts w:ascii="Times New Roman" w:hAnsi="Times New Roman" w:cs="Times New Roman"/>
          <w:sz w:val="24"/>
          <w:szCs w:val="24"/>
        </w:rPr>
        <w:t>i</w:t>
      </w:r>
      <w:r w:rsidR="00DF1876">
        <w:rPr>
          <w:rFonts w:ascii="Times New Roman" w:hAnsi="Times New Roman" w:cs="Times New Roman"/>
          <w:sz w:val="24"/>
          <w:szCs w:val="24"/>
        </w:rPr>
        <w:t xml:space="preserve"> tiks piemērot</w:t>
      </w:r>
      <w:r w:rsidR="00A8699F">
        <w:rPr>
          <w:rFonts w:ascii="Times New Roman" w:hAnsi="Times New Roman" w:cs="Times New Roman"/>
          <w:sz w:val="24"/>
          <w:szCs w:val="24"/>
        </w:rPr>
        <w:t>i</w:t>
      </w:r>
      <w:r w:rsidR="00DF1876">
        <w:rPr>
          <w:rFonts w:ascii="Times New Roman" w:hAnsi="Times New Roman" w:cs="Times New Roman"/>
          <w:sz w:val="24"/>
          <w:szCs w:val="24"/>
        </w:rPr>
        <w:t xml:space="preserve"> sākot ar 202</w:t>
      </w:r>
      <w:r w:rsidR="00A8699F">
        <w:rPr>
          <w:rFonts w:ascii="Times New Roman" w:hAnsi="Times New Roman" w:cs="Times New Roman"/>
          <w:sz w:val="24"/>
          <w:szCs w:val="24"/>
        </w:rPr>
        <w:t>5</w:t>
      </w:r>
      <w:r w:rsidR="00DF1876">
        <w:rPr>
          <w:rFonts w:ascii="Times New Roman" w:hAnsi="Times New Roman" w:cs="Times New Roman"/>
          <w:sz w:val="24"/>
          <w:szCs w:val="24"/>
        </w:rPr>
        <w:t>.gada 1.janvāri.</w:t>
      </w:r>
    </w:p>
    <w:p w14:paraId="2FE254E8" w14:textId="18E025CB" w:rsidR="00DF1876" w:rsidRDefault="00DF1876" w:rsidP="00BC67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29B7EDC" w14:textId="5AC9AFC6" w:rsidR="00DF1876" w:rsidRDefault="00DF1876" w:rsidP="00DF18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1.Tabula. SIA “VATS” noteiktie sadales sistēmas pakalpojuma tarifi</w:t>
      </w:r>
    </w:p>
    <w:p w14:paraId="0D71844D" w14:textId="77777777" w:rsidR="00DF1876" w:rsidRDefault="00DF1876" w:rsidP="00DF1876">
      <w:pPr>
        <w:spacing w:after="0" w:line="240" w:lineRule="auto"/>
        <w:jc w:val="both"/>
        <w:rPr>
          <w:rFonts w:ascii="Times New Roman" w:hAnsi="Times New Roman" w:cs="Times New Roman"/>
          <w:sz w:val="24"/>
          <w:szCs w:val="24"/>
        </w:rPr>
      </w:pPr>
    </w:p>
    <w:tbl>
      <w:tblPr>
        <w:tblW w:w="5078" w:type="pct"/>
        <w:tblInd w:w="-8" w:type="dxa"/>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871"/>
        <w:gridCol w:w="1356"/>
        <w:gridCol w:w="1188"/>
        <w:gridCol w:w="1188"/>
        <w:gridCol w:w="1351"/>
      </w:tblGrid>
      <w:tr w:rsidR="00DF1876" w:rsidRPr="00D20EFB" w14:paraId="22A8DEA6" w14:textId="77777777" w:rsidTr="00F77BF0">
        <w:trPr>
          <w:trHeight w:val="21"/>
        </w:trPr>
        <w:tc>
          <w:tcPr>
            <w:tcW w:w="2169" w:type="pct"/>
            <w:tcBorders>
              <w:top w:val="outset" w:sz="6" w:space="0" w:color="414142"/>
              <w:left w:val="outset" w:sz="6" w:space="0" w:color="414142"/>
              <w:bottom w:val="outset" w:sz="6" w:space="0" w:color="414142"/>
              <w:right w:val="outset" w:sz="6" w:space="0" w:color="414142"/>
            </w:tcBorders>
            <w:vAlign w:val="center"/>
            <w:hideMark/>
          </w:tcPr>
          <w:p w14:paraId="6904888E" w14:textId="77777777" w:rsidR="00DF1876" w:rsidRPr="00D20EFB" w:rsidRDefault="00DF1876" w:rsidP="00F77BF0">
            <w:pPr>
              <w:spacing w:line="240" w:lineRule="auto"/>
              <w:jc w:val="center"/>
              <w:rPr>
                <w:rFonts w:ascii="Times New Roman" w:hAnsi="Times New Roman" w:cs="Times New Roman"/>
              </w:rPr>
            </w:pPr>
            <w:r w:rsidRPr="00D20EFB">
              <w:rPr>
                <w:rFonts w:ascii="Times New Roman" w:hAnsi="Times New Roman" w:cs="Times New Roman"/>
              </w:rPr>
              <w:t>Sabiedriskā pakalpojuma veids</w:t>
            </w:r>
          </w:p>
        </w:tc>
        <w:tc>
          <w:tcPr>
            <w:tcW w:w="746" w:type="pct"/>
            <w:tcBorders>
              <w:top w:val="outset" w:sz="6" w:space="0" w:color="414142"/>
              <w:left w:val="outset" w:sz="6" w:space="0" w:color="414142"/>
              <w:bottom w:val="outset" w:sz="6" w:space="0" w:color="414142"/>
              <w:right w:val="outset" w:sz="6" w:space="0" w:color="414142"/>
            </w:tcBorders>
          </w:tcPr>
          <w:p w14:paraId="6DF7A106" w14:textId="77777777" w:rsidR="00DF1876" w:rsidRPr="00D20EFB" w:rsidRDefault="00DF1876" w:rsidP="00F77BF0">
            <w:pPr>
              <w:spacing w:line="240" w:lineRule="auto"/>
              <w:jc w:val="center"/>
              <w:rPr>
                <w:rFonts w:ascii="Times New Roman" w:hAnsi="Times New Roman" w:cs="Times New Roman"/>
              </w:rPr>
            </w:pPr>
          </w:p>
          <w:p w14:paraId="4FE96388" w14:textId="77777777" w:rsidR="00DF1876" w:rsidRPr="00D20EFB" w:rsidRDefault="00DF1876" w:rsidP="00F77BF0">
            <w:pPr>
              <w:spacing w:line="240" w:lineRule="auto"/>
              <w:rPr>
                <w:rFonts w:ascii="Times New Roman" w:hAnsi="Times New Roman" w:cs="Times New Roman"/>
              </w:rPr>
            </w:pPr>
            <w:r w:rsidRPr="00D20EFB">
              <w:rPr>
                <w:rFonts w:ascii="Times New Roman" w:hAnsi="Times New Roman" w:cs="Times New Roman"/>
              </w:rPr>
              <w:t>Mērvienība</w:t>
            </w:r>
          </w:p>
        </w:tc>
        <w:tc>
          <w:tcPr>
            <w:tcW w:w="670" w:type="pct"/>
            <w:tcBorders>
              <w:top w:val="outset" w:sz="6" w:space="0" w:color="414142"/>
              <w:left w:val="outset" w:sz="6" w:space="0" w:color="414142"/>
              <w:bottom w:val="outset" w:sz="6" w:space="0" w:color="414142"/>
              <w:right w:val="outset" w:sz="6" w:space="0" w:color="414142"/>
            </w:tcBorders>
            <w:vAlign w:val="center"/>
            <w:hideMark/>
          </w:tcPr>
          <w:p w14:paraId="479C3817" w14:textId="77777777" w:rsidR="00DF1876" w:rsidRPr="00D20EFB" w:rsidRDefault="00DF1876" w:rsidP="00F77BF0">
            <w:pPr>
              <w:spacing w:line="240" w:lineRule="auto"/>
              <w:jc w:val="center"/>
              <w:rPr>
                <w:rFonts w:ascii="Times New Roman" w:hAnsi="Times New Roman" w:cs="Times New Roman"/>
              </w:rPr>
            </w:pPr>
            <w:r w:rsidRPr="00D20EFB">
              <w:rPr>
                <w:rFonts w:ascii="Times New Roman" w:hAnsi="Times New Roman" w:cs="Times New Roman"/>
              </w:rPr>
              <w:t>Spēkā esošais tarifs </w:t>
            </w:r>
            <w:r w:rsidRPr="00D20EFB">
              <w:rPr>
                <w:rFonts w:ascii="Times New Roman" w:hAnsi="Times New Roman" w:cs="Times New Roman"/>
              </w:rPr>
              <w:br/>
              <w:t>(bez PVN)</w:t>
            </w:r>
          </w:p>
        </w:tc>
        <w:tc>
          <w:tcPr>
            <w:tcW w:w="670" w:type="pct"/>
            <w:tcBorders>
              <w:top w:val="outset" w:sz="6" w:space="0" w:color="414142"/>
              <w:left w:val="outset" w:sz="6" w:space="0" w:color="414142"/>
              <w:bottom w:val="outset" w:sz="6" w:space="0" w:color="414142"/>
              <w:right w:val="outset" w:sz="6" w:space="0" w:color="414142"/>
            </w:tcBorders>
            <w:vAlign w:val="center"/>
            <w:hideMark/>
          </w:tcPr>
          <w:p w14:paraId="4F20A278" w14:textId="77777777" w:rsidR="00DF1876" w:rsidRPr="00D20EFB" w:rsidRDefault="00DF1876" w:rsidP="00F77BF0">
            <w:pPr>
              <w:spacing w:line="240" w:lineRule="auto"/>
              <w:jc w:val="center"/>
              <w:rPr>
                <w:rFonts w:ascii="Times New Roman" w:hAnsi="Times New Roman" w:cs="Times New Roman"/>
              </w:rPr>
            </w:pPr>
            <w:r w:rsidRPr="00D20EFB">
              <w:rPr>
                <w:rFonts w:ascii="Times New Roman" w:hAnsi="Times New Roman" w:cs="Times New Roman"/>
              </w:rPr>
              <w:t>Noteiktais tarifs </w:t>
            </w:r>
            <w:r w:rsidRPr="00D20EFB">
              <w:rPr>
                <w:rFonts w:ascii="Times New Roman" w:hAnsi="Times New Roman" w:cs="Times New Roman"/>
              </w:rPr>
              <w:br/>
              <w:t>(bez PVN)</w:t>
            </w:r>
          </w:p>
        </w:tc>
        <w:tc>
          <w:tcPr>
            <w:tcW w:w="745" w:type="pct"/>
            <w:tcBorders>
              <w:top w:val="outset" w:sz="6" w:space="0" w:color="414142"/>
              <w:left w:val="outset" w:sz="6" w:space="0" w:color="414142"/>
              <w:bottom w:val="outset" w:sz="6" w:space="0" w:color="414142"/>
              <w:right w:val="outset" w:sz="6" w:space="0" w:color="414142"/>
            </w:tcBorders>
            <w:vAlign w:val="center"/>
            <w:hideMark/>
          </w:tcPr>
          <w:p w14:paraId="3205C6D0" w14:textId="77777777" w:rsidR="00DF1876" w:rsidRPr="00D20EFB" w:rsidRDefault="00DF1876" w:rsidP="00F77BF0">
            <w:pPr>
              <w:spacing w:line="240" w:lineRule="auto"/>
              <w:jc w:val="center"/>
              <w:rPr>
                <w:rFonts w:ascii="Times New Roman" w:hAnsi="Times New Roman" w:cs="Times New Roman"/>
              </w:rPr>
            </w:pPr>
            <w:r w:rsidRPr="00D20EFB">
              <w:rPr>
                <w:rFonts w:ascii="Times New Roman" w:hAnsi="Times New Roman" w:cs="Times New Roman"/>
              </w:rPr>
              <w:t xml:space="preserve">Noteiktā tarifa  </w:t>
            </w:r>
            <w:r w:rsidRPr="00D20EFB">
              <w:rPr>
                <w:rFonts w:ascii="Times New Roman" w:hAnsi="Times New Roman" w:cs="Times New Roman"/>
                <w:i/>
                <w:iCs/>
              </w:rPr>
              <w:t>palielinājums/ samazinājums</w:t>
            </w:r>
            <w:r w:rsidRPr="00D20EFB">
              <w:rPr>
                <w:rFonts w:ascii="Times New Roman" w:hAnsi="Times New Roman" w:cs="Times New Roman"/>
              </w:rPr>
              <w:t>  (%).</w:t>
            </w:r>
          </w:p>
        </w:tc>
      </w:tr>
      <w:tr w:rsidR="00DF1876" w:rsidRPr="00D20EFB" w14:paraId="2F259286" w14:textId="77777777" w:rsidTr="00F77BF0">
        <w:trPr>
          <w:trHeight w:val="582"/>
        </w:trPr>
        <w:tc>
          <w:tcPr>
            <w:tcW w:w="2169" w:type="pct"/>
            <w:tcBorders>
              <w:top w:val="outset" w:sz="6" w:space="0" w:color="414142"/>
              <w:left w:val="outset" w:sz="6" w:space="0" w:color="414142"/>
              <w:bottom w:val="outset" w:sz="6" w:space="0" w:color="414142"/>
              <w:right w:val="outset" w:sz="6" w:space="0" w:color="414142"/>
            </w:tcBorders>
            <w:hideMark/>
          </w:tcPr>
          <w:p w14:paraId="43724BEA" w14:textId="77777777" w:rsidR="00DF1876" w:rsidRPr="00D20EFB" w:rsidRDefault="00DF1876" w:rsidP="00F77BF0">
            <w:pPr>
              <w:rPr>
                <w:rFonts w:ascii="Times New Roman" w:hAnsi="Times New Roman" w:cs="Times New Roman"/>
              </w:rPr>
            </w:pPr>
            <w:r w:rsidRPr="00D20EFB">
              <w:rPr>
                <w:rFonts w:ascii="Times New Roman" w:hAnsi="Times New Roman" w:cs="Times New Roman"/>
              </w:rPr>
              <w:t>SSO pakalpojumu tarifi lietotājiem no 110/6-20kV transformatora 6-20kV kopnēm</w:t>
            </w:r>
          </w:p>
        </w:tc>
        <w:tc>
          <w:tcPr>
            <w:tcW w:w="746" w:type="pct"/>
            <w:tcBorders>
              <w:top w:val="outset" w:sz="6" w:space="0" w:color="414142"/>
              <w:left w:val="outset" w:sz="6" w:space="0" w:color="414142"/>
              <w:bottom w:val="outset" w:sz="6" w:space="0" w:color="414142"/>
              <w:right w:val="outset" w:sz="6" w:space="0" w:color="414142"/>
            </w:tcBorders>
          </w:tcPr>
          <w:p w14:paraId="12D72009"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EUR/kWh</w:t>
            </w:r>
          </w:p>
        </w:tc>
        <w:tc>
          <w:tcPr>
            <w:tcW w:w="670" w:type="pct"/>
            <w:tcBorders>
              <w:top w:val="outset" w:sz="6" w:space="0" w:color="414142"/>
              <w:left w:val="outset" w:sz="6" w:space="0" w:color="414142"/>
              <w:bottom w:val="outset" w:sz="6" w:space="0" w:color="414142"/>
              <w:right w:val="outset" w:sz="6" w:space="0" w:color="414142"/>
            </w:tcBorders>
            <w:hideMark/>
          </w:tcPr>
          <w:p w14:paraId="61F4AC72"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 0.01805</w:t>
            </w:r>
          </w:p>
        </w:tc>
        <w:tc>
          <w:tcPr>
            <w:tcW w:w="670" w:type="pct"/>
            <w:tcBorders>
              <w:top w:val="outset" w:sz="6" w:space="0" w:color="414142"/>
              <w:left w:val="outset" w:sz="6" w:space="0" w:color="414142"/>
              <w:bottom w:val="outset" w:sz="6" w:space="0" w:color="414142"/>
              <w:right w:val="outset" w:sz="6" w:space="0" w:color="414142"/>
            </w:tcBorders>
            <w:hideMark/>
          </w:tcPr>
          <w:p w14:paraId="02886D94"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 0.06431</w:t>
            </w:r>
          </w:p>
        </w:tc>
        <w:tc>
          <w:tcPr>
            <w:tcW w:w="745" w:type="pct"/>
            <w:tcBorders>
              <w:top w:val="outset" w:sz="6" w:space="0" w:color="414142"/>
              <w:left w:val="outset" w:sz="6" w:space="0" w:color="414142"/>
              <w:bottom w:val="outset" w:sz="6" w:space="0" w:color="414142"/>
              <w:right w:val="outset" w:sz="6" w:space="0" w:color="414142"/>
            </w:tcBorders>
            <w:hideMark/>
          </w:tcPr>
          <w:p w14:paraId="46E08A47"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 +256%</w:t>
            </w:r>
          </w:p>
        </w:tc>
      </w:tr>
      <w:tr w:rsidR="00DF1876" w:rsidRPr="00D20EFB" w14:paraId="0ED02051" w14:textId="77777777" w:rsidTr="00F77BF0">
        <w:trPr>
          <w:trHeight w:val="227"/>
        </w:trPr>
        <w:tc>
          <w:tcPr>
            <w:tcW w:w="2169" w:type="pct"/>
            <w:tcBorders>
              <w:top w:val="outset" w:sz="6" w:space="0" w:color="414142"/>
              <w:left w:val="outset" w:sz="6" w:space="0" w:color="414142"/>
              <w:bottom w:val="outset" w:sz="6" w:space="0" w:color="414142"/>
              <w:right w:val="outset" w:sz="6" w:space="0" w:color="414142"/>
            </w:tcBorders>
          </w:tcPr>
          <w:p w14:paraId="4F72E928" w14:textId="77777777" w:rsidR="00DF1876" w:rsidRPr="00D20EFB" w:rsidRDefault="00DF1876" w:rsidP="00F77BF0">
            <w:pPr>
              <w:rPr>
                <w:rFonts w:ascii="Times New Roman" w:hAnsi="Times New Roman" w:cs="Times New Roman"/>
              </w:rPr>
            </w:pPr>
            <w:r w:rsidRPr="00D20EFB">
              <w:rPr>
                <w:rFonts w:ascii="Times New Roman" w:hAnsi="Times New Roman" w:cs="Times New Roman"/>
              </w:rPr>
              <w:t>SSO pakalpojumu tarifi lietotājiem no 6-20kV sadales punktiem, 6-20kV līnijām</w:t>
            </w:r>
          </w:p>
        </w:tc>
        <w:tc>
          <w:tcPr>
            <w:tcW w:w="746" w:type="pct"/>
            <w:tcBorders>
              <w:top w:val="outset" w:sz="6" w:space="0" w:color="414142"/>
              <w:left w:val="outset" w:sz="6" w:space="0" w:color="414142"/>
              <w:bottom w:val="outset" w:sz="6" w:space="0" w:color="414142"/>
              <w:right w:val="outset" w:sz="6" w:space="0" w:color="414142"/>
            </w:tcBorders>
          </w:tcPr>
          <w:p w14:paraId="06679281"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EUR/kWh</w:t>
            </w:r>
          </w:p>
        </w:tc>
        <w:tc>
          <w:tcPr>
            <w:tcW w:w="670" w:type="pct"/>
            <w:tcBorders>
              <w:top w:val="outset" w:sz="6" w:space="0" w:color="414142"/>
              <w:left w:val="outset" w:sz="6" w:space="0" w:color="414142"/>
              <w:bottom w:val="outset" w:sz="6" w:space="0" w:color="414142"/>
              <w:right w:val="outset" w:sz="6" w:space="0" w:color="414142"/>
            </w:tcBorders>
          </w:tcPr>
          <w:p w14:paraId="4E6C12B7"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0.01852</w:t>
            </w:r>
          </w:p>
        </w:tc>
        <w:tc>
          <w:tcPr>
            <w:tcW w:w="670" w:type="pct"/>
            <w:tcBorders>
              <w:top w:val="outset" w:sz="6" w:space="0" w:color="414142"/>
              <w:left w:val="outset" w:sz="6" w:space="0" w:color="414142"/>
              <w:bottom w:val="outset" w:sz="6" w:space="0" w:color="414142"/>
              <w:right w:val="outset" w:sz="6" w:space="0" w:color="414142"/>
            </w:tcBorders>
          </w:tcPr>
          <w:p w14:paraId="2316C4A2"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0.00844</w:t>
            </w:r>
          </w:p>
        </w:tc>
        <w:tc>
          <w:tcPr>
            <w:tcW w:w="745" w:type="pct"/>
            <w:tcBorders>
              <w:top w:val="outset" w:sz="6" w:space="0" w:color="414142"/>
              <w:left w:val="outset" w:sz="6" w:space="0" w:color="414142"/>
              <w:bottom w:val="outset" w:sz="6" w:space="0" w:color="414142"/>
              <w:right w:val="outset" w:sz="6" w:space="0" w:color="414142"/>
            </w:tcBorders>
          </w:tcPr>
          <w:p w14:paraId="3B823FA3"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-54%</w:t>
            </w:r>
          </w:p>
        </w:tc>
      </w:tr>
      <w:tr w:rsidR="00DF1876" w:rsidRPr="00D20EFB" w14:paraId="410EEF89" w14:textId="77777777" w:rsidTr="00F77BF0">
        <w:trPr>
          <w:trHeight w:val="227"/>
        </w:trPr>
        <w:tc>
          <w:tcPr>
            <w:tcW w:w="2169" w:type="pct"/>
            <w:tcBorders>
              <w:top w:val="outset" w:sz="6" w:space="0" w:color="414142"/>
              <w:left w:val="outset" w:sz="6" w:space="0" w:color="414142"/>
              <w:bottom w:val="outset" w:sz="6" w:space="0" w:color="414142"/>
              <w:right w:val="outset" w:sz="6" w:space="0" w:color="414142"/>
            </w:tcBorders>
          </w:tcPr>
          <w:p w14:paraId="61747D92" w14:textId="77777777" w:rsidR="00DF1876" w:rsidRPr="00D20EFB" w:rsidRDefault="00DF1876" w:rsidP="00F77BF0">
            <w:pPr>
              <w:rPr>
                <w:rFonts w:ascii="Times New Roman" w:hAnsi="Times New Roman" w:cs="Times New Roman"/>
              </w:rPr>
            </w:pPr>
            <w:r w:rsidRPr="00D20EFB">
              <w:rPr>
                <w:rFonts w:ascii="Times New Roman" w:hAnsi="Times New Roman" w:cs="Times New Roman"/>
              </w:rPr>
              <w:t>SSO pakalpojumu tarifi lietotājiem no 6-20kV/0,4kV transformatora 0,4kV kopnēm</w:t>
            </w:r>
          </w:p>
        </w:tc>
        <w:tc>
          <w:tcPr>
            <w:tcW w:w="746" w:type="pct"/>
            <w:tcBorders>
              <w:top w:val="outset" w:sz="6" w:space="0" w:color="414142"/>
              <w:left w:val="outset" w:sz="6" w:space="0" w:color="414142"/>
              <w:bottom w:val="outset" w:sz="6" w:space="0" w:color="414142"/>
              <w:right w:val="outset" w:sz="6" w:space="0" w:color="414142"/>
            </w:tcBorders>
          </w:tcPr>
          <w:p w14:paraId="4D022214"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EUR/kWh</w:t>
            </w:r>
          </w:p>
        </w:tc>
        <w:tc>
          <w:tcPr>
            <w:tcW w:w="670" w:type="pct"/>
            <w:tcBorders>
              <w:top w:val="outset" w:sz="6" w:space="0" w:color="414142"/>
              <w:left w:val="outset" w:sz="6" w:space="0" w:color="414142"/>
              <w:bottom w:val="outset" w:sz="6" w:space="0" w:color="414142"/>
              <w:right w:val="outset" w:sz="6" w:space="0" w:color="414142"/>
            </w:tcBorders>
          </w:tcPr>
          <w:p w14:paraId="65E24383"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0.01026</w:t>
            </w:r>
          </w:p>
        </w:tc>
        <w:tc>
          <w:tcPr>
            <w:tcW w:w="670" w:type="pct"/>
            <w:tcBorders>
              <w:top w:val="outset" w:sz="6" w:space="0" w:color="414142"/>
              <w:left w:val="outset" w:sz="6" w:space="0" w:color="414142"/>
              <w:bottom w:val="outset" w:sz="6" w:space="0" w:color="414142"/>
              <w:right w:val="outset" w:sz="6" w:space="0" w:color="414142"/>
            </w:tcBorders>
          </w:tcPr>
          <w:p w14:paraId="3444E829"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0.00823</w:t>
            </w:r>
          </w:p>
        </w:tc>
        <w:tc>
          <w:tcPr>
            <w:tcW w:w="745" w:type="pct"/>
            <w:tcBorders>
              <w:top w:val="outset" w:sz="6" w:space="0" w:color="414142"/>
              <w:left w:val="outset" w:sz="6" w:space="0" w:color="414142"/>
              <w:bottom w:val="outset" w:sz="6" w:space="0" w:color="414142"/>
              <w:right w:val="outset" w:sz="6" w:space="0" w:color="414142"/>
            </w:tcBorders>
          </w:tcPr>
          <w:p w14:paraId="528B3221"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-20%</w:t>
            </w:r>
          </w:p>
        </w:tc>
      </w:tr>
      <w:tr w:rsidR="00DF1876" w:rsidRPr="00D20EFB" w14:paraId="75A68D2D" w14:textId="77777777" w:rsidTr="00F77BF0">
        <w:trPr>
          <w:trHeight w:val="227"/>
        </w:trPr>
        <w:tc>
          <w:tcPr>
            <w:tcW w:w="2169" w:type="pct"/>
            <w:tcBorders>
              <w:top w:val="outset" w:sz="6" w:space="0" w:color="414142"/>
              <w:left w:val="outset" w:sz="6" w:space="0" w:color="414142"/>
              <w:bottom w:val="single" w:sz="6" w:space="0" w:color="414142"/>
              <w:right w:val="outset" w:sz="6" w:space="0" w:color="414142"/>
            </w:tcBorders>
          </w:tcPr>
          <w:p w14:paraId="7508228C" w14:textId="77777777" w:rsidR="00DF1876" w:rsidRPr="00D20EFB" w:rsidRDefault="00DF1876" w:rsidP="00F77BF0">
            <w:pPr>
              <w:rPr>
                <w:rFonts w:ascii="Times New Roman" w:hAnsi="Times New Roman" w:cs="Times New Roman"/>
              </w:rPr>
            </w:pPr>
            <w:r w:rsidRPr="00D20EFB">
              <w:rPr>
                <w:rFonts w:ascii="Times New Roman" w:hAnsi="Times New Roman" w:cs="Times New Roman"/>
              </w:rPr>
              <w:t>Maksa par pārvades jaudas uzturēšanu un attīstīšanu, lietotājiem no 110/6-20kV transformatora 6-20kV kopnēm</w:t>
            </w:r>
          </w:p>
        </w:tc>
        <w:tc>
          <w:tcPr>
            <w:tcW w:w="746" w:type="pct"/>
            <w:tcBorders>
              <w:top w:val="outset" w:sz="6" w:space="0" w:color="414142"/>
              <w:left w:val="outset" w:sz="6" w:space="0" w:color="414142"/>
              <w:bottom w:val="single" w:sz="6" w:space="0" w:color="414142"/>
              <w:right w:val="outset" w:sz="6" w:space="0" w:color="414142"/>
            </w:tcBorders>
          </w:tcPr>
          <w:p w14:paraId="54225583"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EUR/kW/gadā</w:t>
            </w:r>
          </w:p>
        </w:tc>
        <w:tc>
          <w:tcPr>
            <w:tcW w:w="670" w:type="pct"/>
            <w:tcBorders>
              <w:top w:val="outset" w:sz="6" w:space="0" w:color="414142"/>
              <w:left w:val="outset" w:sz="6" w:space="0" w:color="414142"/>
              <w:bottom w:val="single" w:sz="6" w:space="0" w:color="414142"/>
              <w:right w:val="outset" w:sz="6" w:space="0" w:color="414142"/>
            </w:tcBorders>
            <w:hideMark/>
          </w:tcPr>
          <w:p w14:paraId="443757C9"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 24.97169</w:t>
            </w:r>
          </w:p>
        </w:tc>
        <w:tc>
          <w:tcPr>
            <w:tcW w:w="670" w:type="pct"/>
            <w:tcBorders>
              <w:top w:val="outset" w:sz="6" w:space="0" w:color="414142"/>
              <w:left w:val="outset" w:sz="6" w:space="0" w:color="414142"/>
              <w:bottom w:val="single" w:sz="6" w:space="0" w:color="414142"/>
              <w:right w:val="outset" w:sz="6" w:space="0" w:color="414142"/>
            </w:tcBorders>
            <w:hideMark/>
          </w:tcPr>
          <w:p w14:paraId="1A2F81A7"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 51.50448</w:t>
            </w:r>
          </w:p>
        </w:tc>
        <w:tc>
          <w:tcPr>
            <w:tcW w:w="745" w:type="pct"/>
            <w:tcBorders>
              <w:top w:val="outset" w:sz="6" w:space="0" w:color="414142"/>
              <w:left w:val="outset" w:sz="6" w:space="0" w:color="414142"/>
              <w:bottom w:val="single" w:sz="6" w:space="0" w:color="414142"/>
              <w:right w:val="outset" w:sz="6" w:space="0" w:color="414142"/>
            </w:tcBorders>
            <w:hideMark/>
          </w:tcPr>
          <w:p w14:paraId="2B8DB005"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 +106%</w:t>
            </w:r>
          </w:p>
        </w:tc>
      </w:tr>
      <w:tr w:rsidR="00DF1876" w:rsidRPr="00D20EFB" w14:paraId="7CA71847" w14:textId="77777777" w:rsidTr="00F77BF0">
        <w:trPr>
          <w:trHeight w:val="227"/>
        </w:trPr>
        <w:tc>
          <w:tcPr>
            <w:tcW w:w="2169" w:type="pct"/>
            <w:tcBorders>
              <w:top w:val="outset" w:sz="6" w:space="0" w:color="414142"/>
              <w:left w:val="outset" w:sz="6" w:space="0" w:color="414142"/>
              <w:bottom w:val="single" w:sz="6" w:space="0" w:color="414142"/>
              <w:right w:val="outset" w:sz="6" w:space="0" w:color="414142"/>
            </w:tcBorders>
          </w:tcPr>
          <w:p w14:paraId="1182DDA1" w14:textId="77777777" w:rsidR="00DF1876" w:rsidRPr="00D20EFB" w:rsidRDefault="00DF1876" w:rsidP="00F77BF0">
            <w:pPr>
              <w:rPr>
                <w:rFonts w:ascii="Times New Roman" w:hAnsi="Times New Roman" w:cs="Times New Roman"/>
              </w:rPr>
            </w:pPr>
            <w:r w:rsidRPr="00D20EFB">
              <w:rPr>
                <w:rFonts w:ascii="Times New Roman" w:hAnsi="Times New Roman" w:cs="Times New Roman"/>
              </w:rPr>
              <w:lastRenderedPageBreak/>
              <w:t>Maksa par pārvades jaudas uzturēšanu un attīstīšanu lietotājiem no 6-20kV sadales punktiem, 6-20kV līnijām</w:t>
            </w:r>
          </w:p>
        </w:tc>
        <w:tc>
          <w:tcPr>
            <w:tcW w:w="746" w:type="pct"/>
            <w:tcBorders>
              <w:top w:val="outset" w:sz="6" w:space="0" w:color="414142"/>
              <w:left w:val="outset" w:sz="6" w:space="0" w:color="414142"/>
              <w:bottom w:val="single" w:sz="6" w:space="0" w:color="414142"/>
              <w:right w:val="outset" w:sz="6" w:space="0" w:color="414142"/>
            </w:tcBorders>
          </w:tcPr>
          <w:p w14:paraId="647D1AB7"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EUR/kW/gadā</w:t>
            </w:r>
          </w:p>
        </w:tc>
        <w:tc>
          <w:tcPr>
            <w:tcW w:w="670" w:type="pct"/>
            <w:tcBorders>
              <w:top w:val="outset" w:sz="6" w:space="0" w:color="414142"/>
              <w:left w:val="outset" w:sz="6" w:space="0" w:color="414142"/>
              <w:bottom w:val="single" w:sz="6" w:space="0" w:color="414142"/>
              <w:right w:val="outset" w:sz="6" w:space="0" w:color="414142"/>
            </w:tcBorders>
          </w:tcPr>
          <w:p w14:paraId="2E76C549"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 24.97169</w:t>
            </w:r>
          </w:p>
        </w:tc>
        <w:tc>
          <w:tcPr>
            <w:tcW w:w="670" w:type="pct"/>
            <w:tcBorders>
              <w:top w:val="outset" w:sz="6" w:space="0" w:color="414142"/>
              <w:left w:val="outset" w:sz="6" w:space="0" w:color="414142"/>
              <w:bottom w:val="single" w:sz="6" w:space="0" w:color="414142"/>
              <w:right w:val="outset" w:sz="6" w:space="0" w:color="414142"/>
            </w:tcBorders>
          </w:tcPr>
          <w:p w14:paraId="1D7B3D17"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12.26667</w:t>
            </w:r>
          </w:p>
        </w:tc>
        <w:tc>
          <w:tcPr>
            <w:tcW w:w="745" w:type="pct"/>
            <w:tcBorders>
              <w:top w:val="outset" w:sz="6" w:space="0" w:color="414142"/>
              <w:left w:val="outset" w:sz="6" w:space="0" w:color="414142"/>
              <w:bottom w:val="single" w:sz="6" w:space="0" w:color="414142"/>
              <w:right w:val="outset" w:sz="6" w:space="0" w:color="414142"/>
            </w:tcBorders>
          </w:tcPr>
          <w:p w14:paraId="1BE35E58"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-51%</w:t>
            </w:r>
          </w:p>
        </w:tc>
      </w:tr>
      <w:tr w:rsidR="00DF1876" w:rsidRPr="00D20EFB" w14:paraId="021912D6" w14:textId="77777777" w:rsidTr="00F77BF0">
        <w:trPr>
          <w:trHeight w:val="227"/>
        </w:trPr>
        <w:tc>
          <w:tcPr>
            <w:tcW w:w="2169" w:type="pct"/>
            <w:tcBorders>
              <w:top w:val="outset" w:sz="6" w:space="0" w:color="414142"/>
              <w:left w:val="outset" w:sz="6" w:space="0" w:color="414142"/>
              <w:bottom w:val="outset" w:sz="6" w:space="0" w:color="414142"/>
              <w:right w:val="outset" w:sz="6" w:space="0" w:color="414142"/>
            </w:tcBorders>
          </w:tcPr>
          <w:p w14:paraId="315B527B" w14:textId="77777777" w:rsidR="00DF1876" w:rsidRPr="00D20EFB" w:rsidRDefault="00DF1876" w:rsidP="00F77BF0">
            <w:pPr>
              <w:rPr>
                <w:rFonts w:ascii="Times New Roman" w:hAnsi="Times New Roman" w:cs="Times New Roman"/>
              </w:rPr>
            </w:pPr>
            <w:r w:rsidRPr="00D20EFB">
              <w:rPr>
                <w:rFonts w:ascii="Times New Roman" w:hAnsi="Times New Roman" w:cs="Times New Roman"/>
              </w:rPr>
              <w:t>Maksa par pārvades jaudas uzturēšanu un attīstīšanu lietotājiem no 6-20kV/0,4kV transformatora 0,4kV kopnēm</w:t>
            </w:r>
          </w:p>
        </w:tc>
        <w:tc>
          <w:tcPr>
            <w:tcW w:w="746" w:type="pct"/>
            <w:tcBorders>
              <w:top w:val="outset" w:sz="6" w:space="0" w:color="414142"/>
              <w:left w:val="outset" w:sz="6" w:space="0" w:color="414142"/>
              <w:bottom w:val="outset" w:sz="6" w:space="0" w:color="414142"/>
              <w:right w:val="outset" w:sz="6" w:space="0" w:color="414142"/>
            </w:tcBorders>
          </w:tcPr>
          <w:p w14:paraId="177807BC"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EUR/kW/gadā</w:t>
            </w:r>
          </w:p>
        </w:tc>
        <w:tc>
          <w:tcPr>
            <w:tcW w:w="670" w:type="pct"/>
            <w:tcBorders>
              <w:top w:val="outset" w:sz="6" w:space="0" w:color="414142"/>
              <w:left w:val="outset" w:sz="6" w:space="0" w:color="414142"/>
              <w:bottom w:val="outset" w:sz="6" w:space="0" w:color="414142"/>
              <w:right w:val="outset" w:sz="6" w:space="0" w:color="414142"/>
            </w:tcBorders>
          </w:tcPr>
          <w:p w14:paraId="72CD82F9"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45.76583</w:t>
            </w:r>
          </w:p>
        </w:tc>
        <w:tc>
          <w:tcPr>
            <w:tcW w:w="670" w:type="pct"/>
            <w:tcBorders>
              <w:top w:val="outset" w:sz="6" w:space="0" w:color="414142"/>
              <w:left w:val="outset" w:sz="6" w:space="0" w:color="414142"/>
              <w:bottom w:val="outset" w:sz="6" w:space="0" w:color="414142"/>
              <w:right w:val="outset" w:sz="6" w:space="0" w:color="414142"/>
            </w:tcBorders>
          </w:tcPr>
          <w:p w14:paraId="512675D4"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22.53923</w:t>
            </w:r>
          </w:p>
        </w:tc>
        <w:tc>
          <w:tcPr>
            <w:tcW w:w="745" w:type="pct"/>
            <w:tcBorders>
              <w:top w:val="outset" w:sz="6" w:space="0" w:color="414142"/>
              <w:left w:val="outset" w:sz="6" w:space="0" w:color="414142"/>
              <w:bottom w:val="outset" w:sz="6" w:space="0" w:color="414142"/>
              <w:right w:val="outset" w:sz="6" w:space="0" w:color="414142"/>
            </w:tcBorders>
          </w:tcPr>
          <w:p w14:paraId="4B832B18"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-51%</w:t>
            </w:r>
          </w:p>
        </w:tc>
      </w:tr>
      <w:tr w:rsidR="00DF1876" w:rsidRPr="00D20EFB" w14:paraId="72B9E015" w14:textId="77777777" w:rsidTr="00F77BF0">
        <w:trPr>
          <w:trHeight w:val="227"/>
        </w:trPr>
        <w:tc>
          <w:tcPr>
            <w:tcW w:w="2169" w:type="pct"/>
            <w:tcBorders>
              <w:top w:val="outset" w:sz="6" w:space="0" w:color="414142"/>
              <w:left w:val="outset" w:sz="6" w:space="0" w:color="414142"/>
              <w:bottom w:val="single" w:sz="6" w:space="0" w:color="414142"/>
              <w:right w:val="outset" w:sz="6" w:space="0" w:color="414142"/>
            </w:tcBorders>
          </w:tcPr>
          <w:p w14:paraId="16F44A6D" w14:textId="77777777" w:rsidR="00DF1876" w:rsidRPr="00D20EFB" w:rsidRDefault="00DF1876" w:rsidP="00F77BF0">
            <w:pPr>
              <w:rPr>
                <w:rFonts w:ascii="Times New Roman" w:hAnsi="Times New Roman" w:cs="Times New Roman"/>
              </w:rPr>
            </w:pPr>
            <w:r w:rsidRPr="00D20EFB">
              <w:rPr>
                <w:rFonts w:ascii="Times New Roman" w:hAnsi="Times New Roman" w:cs="Times New Roman"/>
              </w:rPr>
              <w:t>Elektroenerģijas ražotāju tarifs, EUR/MWh</w:t>
            </w:r>
          </w:p>
        </w:tc>
        <w:tc>
          <w:tcPr>
            <w:tcW w:w="746" w:type="pct"/>
            <w:tcBorders>
              <w:top w:val="outset" w:sz="6" w:space="0" w:color="414142"/>
              <w:left w:val="outset" w:sz="6" w:space="0" w:color="414142"/>
              <w:bottom w:val="single" w:sz="6" w:space="0" w:color="414142"/>
              <w:right w:val="outset" w:sz="6" w:space="0" w:color="414142"/>
            </w:tcBorders>
          </w:tcPr>
          <w:p w14:paraId="34D7F14C"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EUR/MWh</w:t>
            </w:r>
          </w:p>
        </w:tc>
        <w:tc>
          <w:tcPr>
            <w:tcW w:w="670" w:type="pct"/>
            <w:tcBorders>
              <w:top w:val="outset" w:sz="6" w:space="0" w:color="414142"/>
              <w:left w:val="outset" w:sz="6" w:space="0" w:color="414142"/>
              <w:bottom w:val="single" w:sz="6" w:space="0" w:color="414142"/>
              <w:right w:val="outset" w:sz="6" w:space="0" w:color="414142"/>
            </w:tcBorders>
          </w:tcPr>
          <w:p w14:paraId="5B50B5D7"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0,5</w:t>
            </w:r>
          </w:p>
        </w:tc>
        <w:tc>
          <w:tcPr>
            <w:tcW w:w="670" w:type="pct"/>
            <w:tcBorders>
              <w:top w:val="outset" w:sz="6" w:space="0" w:color="414142"/>
              <w:left w:val="outset" w:sz="6" w:space="0" w:color="414142"/>
              <w:bottom w:val="single" w:sz="6" w:space="0" w:color="414142"/>
              <w:right w:val="outset" w:sz="6" w:space="0" w:color="414142"/>
            </w:tcBorders>
          </w:tcPr>
          <w:p w14:paraId="425CF304"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0,5</w:t>
            </w:r>
          </w:p>
        </w:tc>
        <w:tc>
          <w:tcPr>
            <w:tcW w:w="745" w:type="pct"/>
            <w:tcBorders>
              <w:top w:val="outset" w:sz="6" w:space="0" w:color="414142"/>
              <w:left w:val="outset" w:sz="6" w:space="0" w:color="414142"/>
              <w:bottom w:val="single" w:sz="6" w:space="0" w:color="414142"/>
              <w:right w:val="outset" w:sz="6" w:space="0" w:color="414142"/>
            </w:tcBorders>
          </w:tcPr>
          <w:p w14:paraId="02E3A83D" w14:textId="77777777" w:rsidR="00DF1876" w:rsidRPr="00D20EFB" w:rsidRDefault="00DF1876" w:rsidP="00F77BF0">
            <w:pPr>
              <w:jc w:val="center"/>
              <w:rPr>
                <w:rFonts w:ascii="Times New Roman" w:hAnsi="Times New Roman" w:cs="Times New Roman"/>
              </w:rPr>
            </w:pPr>
            <w:r w:rsidRPr="00D20EFB">
              <w:rPr>
                <w:rFonts w:ascii="Times New Roman" w:hAnsi="Times New Roman" w:cs="Times New Roman"/>
              </w:rPr>
              <w:t>0</w:t>
            </w:r>
          </w:p>
        </w:tc>
      </w:tr>
    </w:tbl>
    <w:p w14:paraId="3458A8D9" w14:textId="77777777" w:rsidR="00DF1876" w:rsidRPr="00DF1876" w:rsidRDefault="00DF1876" w:rsidP="00DF1876">
      <w:pPr>
        <w:spacing w:after="0" w:line="240" w:lineRule="auto"/>
        <w:jc w:val="both"/>
        <w:rPr>
          <w:rFonts w:ascii="Times New Roman" w:hAnsi="Times New Roman" w:cs="Times New Roman"/>
          <w:sz w:val="24"/>
          <w:szCs w:val="24"/>
        </w:rPr>
      </w:pPr>
    </w:p>
    <w:p w14:paraId="41BF03BF" w14:textId="1D4534AA" w:rsidR="00330C96" w:rsidRDefault="0045411B" w:rsidP="0045411B">
      <w:pPr>
        <w:jc w:val="both"/>
        <w:rPr>
          <w:rFonts w:ascii="Times New Roman" w:hAnsi="Times New Roman" w:cs="Times New Roman"/>
          <w:sz w:val="24"/>
          <w:szCs w:val="24"/>
        </w:rPr>
      </w:pPr>
      <w:r>
        <w:rPr>
          <w:rFonts w:ascii="Times New Roman" w:hAnsi="Times New Roman" w:cs="Times New Roman"/>
          <w:sz w:val="24"/>
          <w:szCs w:val="24"/>
        </w:rPr>
        <w:t>2.Tabula. SIA “VATS” izmaksu sadalījums nākošajam tarifu periodam, ņemot vērā regulatīvā rēķina atlikumu</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gridCol w:w="2410"/>
        <w:gridCol w:w="1172"/>
      </w:tblGrid>
      <w:tr w:rsidR="004A6FA5" w:rsidRPr="00C43A44" w14:paraId="3E374796" w14:textId="4FE76654" w:rsidTr="00A213FC">
        <w:trPr>
          <w:trHeight w:val="1240"/>
        </w:trPr>
        <w:tc>
          <w:tcPr>
            <w:tcW w:w="3539" w:type="dxa"/>
            <w:vAlign w:val="center"/>
            <w:hideMark/>
          </w:tcPr>
          <w:p w14:paraId="0419E4D4" w14:textId="799D0F5F" w:rsidR="004A6FA5" w:rsidRPr="00C43A44" w:rsidRDefault="004A6FA5" w:rsidP="00F77BF0">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Izmaksu pozīcijas, tūkst. EUR</w:t>
            </w:r>
          </w:p>
        </w:tc>
        <w:tc>
          <w:tcPr>
            <w:tcW w:w="1701" w:type="dxa"/>
            <w:shd w:val="clear" w:color="auto" w:fill="auto"/>
            <w:vAlign w:val="center"/>
            <w:hideMark/>
          </w:tcPr>
          <w:p w14:paraId="07183FEE" w14:textId="0DB419A1" w:rsidR="004A6FA5" w:rsidRPr="00C43A44" w:rsidRDefault="004A6FA5" w:rsidP="00F77BF0">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Spēkā esoša elektroenerģijas sadales sistēmas pakalpojumu tarifa izmaksas 1</w:t>
            </w:r>
            <w:r w:rsidR="00B81C93">
              <w:rPr>
                <w:rFonts w:ascii="Times New Roman" w:eastAsia="Times New Roman" w:hAnsi="Times New Roman" w:cs="Times New Roman"/>
                <w:color w:val="000000"/>
                <w:sz w:val="20"/>
                <w:szCs w:val="20"/>
                <w:lang w:eastAsia="lv-LV"/>
              </w:rPr>
              <w:t>2</w:t>
            </w:r>
            <w:r>
              <w:rPr>
                <w:rFonts w:ascii="Times New Roman" w:eastAsia="Times New Roman" w:hAnsi="Times New Roman" w:cs="Times New Roman"/>
                <w:color w:val="000000"/>
                <w:sz w:val="20"/>
                <w:szCs w:val="20"/>
                <w:lang w:eastAsia="lv-LV"/>
              </w:rPr>
              <w:t xml:space="preserve"> mēnešiem </w:t>
            </w:r>
          </w:p>
        </w:tc>
        <w:tc>
          <w:tcPr>
            <w:tcW w:w="2410" w:type="dxa"/>
            <w:shd w:val="clear" w:color="auto" w:fill="auto"/>
            <w:vAlign w:val="center"/>
            <w:hideMark/>
          </w:tcPr>
          <w:p w14:paraId="485944D5" w14:textId="2993A443" w:rsidR="004A6FA5" w:rsidRPr="00C43A44" w:rsidRDefault="004A6FA5" w:rsidP="00F77BF0">
            <w:pPr>
              <w:spacing w:after="0" w:line="240" w:lineRule="auto"/>
              <w:jc w:val="center"/>
              <w:rPr>
                <w:rFonts w:ascii="Times New Roman" w:eastAsia="Times New Roman" w:hAnsi="Times New Roman" w:cs="Times New Roman"/>
                <w:color w:val="000000"/>
                <w:sz w:val="20"/>
                <w:szCs w:val="20"/>
                <w:lang w:eastAsia="lv-LV"/>
              </w:rPr>
            </w:pPr>
            <w:r w:rsidRPr="001D0FF3">
              <w:rPr>
                <w:rFonts w:ascii="Times New Roman" w:eastAsia="Times New Roman" w:hAnsi="Times New Roman" w:cs="Times New Roman"/>
                <w:color w:val="000000"/>
                <w:sz w:val="20"/>
                <w:szCs w:val="20"/>
                <w:lang w:eastAsia="lv-LV"/>
              </w:rPr>
              <w:t>Sadales sistēmas pakalpojumu tarifa izmaksas 12 mēnešu periodam sākot ar 202</w:t>
            </w:r>
            <w:r>
              <w:rPr>
                <w:rFonts w:ascii="Times New Roman" w:eastAsia="Times New Roman" w:hAnsi="Times New Roman" w:cs="Times New Roman"/>
                <w:color w:val="000000"/>
                <w:sz w:val="20"/>
                <w:szCs w:val="20"/>
                <w:lang w:eastAsia="lv-LV"/>
              </w:rPr>
              <w:t>5</w:t>
            </w:r>
            <w:r w:rsidRPr="001D0FF3">
              <w:rPr>
                <w:rFonts w:ascii="Times New Roman" w:eastAsia="Times New Roman" w:hAnsi="Times New Roman" w:cs="Times New Roman"/>
                <w:color w:val="000000"/>
                <w:sz w:val="20"/>
                <w:szCs w:val="20"/>
                <w:lang w:eastAsia="lv-LV"/>
              </w:rPr>
              <w:t>.gada 1.janvāri, attiecinot  regulatīvā konta atlikumu atbilstoši metodikā noteiktajiem ierobežojumiem*</w:t>
            </w:r>
          </w:p>
        </w:tc>
        <w:tc>
          <w:tcPr>
            <w:tcW w:w="1172" w:type="dxa"/>
          </w:tcPr>
          <w:p w14:paraId="2532BE18" w14:textId="77777777" w:rsidR="00465E8B" w:rsidRDefault="00465E8B" w:rsidP="00F77BF0">
            <w:pPr>
              <w:spacing w:after="0" w:line="240" w:lineRule="auto"/>
              <w:jc w:val="center"/>
              <w:rPr>
                <w:rFonts w:ascii="Times New Roman" w:eastAsia="Times New Roman" w:hAnsi="Times New Roman" w:cs="Times New Roman"/>
                <w:color w:val="000000"/>
                <w:sz w:val="20"/>
                <w:szCs w:val="20"/>
                <w:lang w:eastAsia="lv-LV"/>
              </w:rPr>
            </w:pPr>
          </w:p>
          <w:p w14:paraId="4C58EC50" w14:textId="77777777" w:rsidR="00465E8B" w:rsidRDefault="00465E8B" w:rsidP="00F77BF0">
            <w:pPr>
              <w:spacing w:after="0" w:line="240" w:lineRule="auto"/>
              <w:jc w:val="center"/>
              <w:rPr>
                <w:rFonts w:ascii="Times New Roman" w:eastAsia="Times New Roman" w:hAnsi="Times New Roman" w:cs="Times New Roman"/>
                <w:color w:val="000000"/>
                <w:sz w:val="20"/>
                <w:szCs w:val="20"/>
                <w:lang w:eastAsia="lv-LV"/>
              </w:rPr>
            </w:pPr>
          </w:p>
          <w:p w14:paraId="50092DF3" w14:textId="77777777" w:rsidR="00465E8B" w:rsidRDefault="00465E8B" w:rsidP="00F77BF0">
            <w:pPr>
              <w:spacing w:after="0" w:line="240" w:lineRule="auto"/>
              <w:jc w:val="center"/>
              <w:rPr>
                <w:rFonts w:ascii="Times New Roman" w:eastAsia="Times New Roman" w:hAnsi="Times New Roman" w:cs="Times New Roman"/>
                <w:color w:val="000000"/>
                <w:sz w:val="20"/>
                <w:szCs w:val="20"/>
                <w:lang w:eastAsia="lv-LV"/>
              </w:rPr>
            </w:pPr>
          </w:p>
          <w:p w14:paraId="7E53C45B" w14:textId="77777777" w:rsidR="00465E8B" w:rsidRDefault="00465E8B" w:rsidP="00F77BF0">
            <w:pPr>
              <w:spacing w:after="0" w:line="240" w:lineRule="auto"/>
              <w:jc w:val="center"/>
              <w:rPr>
                <w:rFonts w:ascii="Times New Roman" w:eastAsia="Times New Roman" w:hAnsi="Times New Roman" w:cs="Times New Roman"/>
                <w:color w:val="000000"/>
                <w:sz w:val="20"/>
                <w:szCs w:val="20"/>
                <w:lang w:eastAsia="lv-LV"/>
              </w:rPr>
            </w:pPr>
          </w:p>
          <w:p w14:paraId="7B4D79B5" w14:textId="0B34A968" w:rsidR="004A6FA5" w:rsidRPr="001D0FF3" w:rsidRDefault="00465E8B" w:rsidP="00F77BF0">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Izmaiņas, %</w:t>
            </w:r>
          </w:p>
        </w:tc>
      </w:tr>
      <w:tr w:rsidR="004A6FA5" w:rsidRPr="00C43A44" w14:paraId="3A1CC59B" w14:textId="65ED5ECE" w:rsidTr="00A213FC">
        <w:trPr>
          <w:trHeight w:val="260"/>
        </w:trPr>
        <w:tc>
          <w:tcPr>
            <w:tcW w:w="3539" w:type="dxa"/>
            <w:shd w:val="clear" w:color="auto" w:fill="auto"/>
            <w:vAlign w:val="bottom"/>
            <w:hideMark/>
          </w:tcPr>
          <w:p w14:paraId="69C21AFC" w14:textId="7B9BE083" w:rsidR="004A6FA5" w:rsidRPr="00F06F4E" w:rsidRDefault="004A6FA5" w:rsidP="001D0FF3">
            <w:pPr>
              <w:spacing w:after="0" w:line="240" w:lineRule="auto"/>
              <w:rPr>
                <w:rFonts w:ascii="Times New Roman" w:eastAsia="Times New Roman" w:hAnsi="Times New Roman" w:cs="Times New Roman"/>
                <w:color w:val="000000"/>
                <w:lang w:eastAsia="lv-LV"/>
              </w:rPr>
            </w:pPr>
            <w:r w:rsidRPr="00F06F4E">
              <w:rPr>
                <w:rFonts w:ascii="Times New Roman" w:eastAsia="Times New Roman" w:hAnsi="Times New Roman" w:cs="Times New Roman"/>
                <w:color w:val="000000"/>
                <w:lang w:eastAsia="lv-LV"/>
              </w:rPr>
              <w:t>Kapitāla izmaksas</w:t>
            </w:r>
          </w:p>
        </w:tc>
        <w:tc>
          <w:tcPr>
            <w:tcW w:w="1701" w:type="dxa"/>
            <w:shd w:val="clear" w:color="auto" w:fill="auto"/>
            <w:noWrap/>
            <w:vAlign w:val="center"/>
          </w:tcPr>
          <w:p w14:paraId="3DD7E9F4" w14:textId="7722769B" w:rsidR="004A6FA5" w:rsidRPr="00F06F4E" w:rsidRDefault="004A6FA5" w:rsidP="00A213FC">
            <w:pPr>
              <w:spacing w:after="0" w:line="240" w:lineRule="auto"/>
              <w:jc w:val="right"/>
              <w:rPr>
                <w:rFonts w:ascii="Times New Roman" w:eastAsia="Times New Roman" w:hAnsi="Times New Roman" w:cs="Times New Roman"/>
                <w:color w:val="000000"/>
                <w:lang w:eastAsia="lv-LV"/>
              </w:rPr>
            </w:pPr>
            <w:r w:rsidRPr="00F06F4E">
              <w:rPr>
                <w:rFonts w:ascii="Times New Roman" w:eastAsia="Times New Roman" w:hAnsi="Times New Roman" w:cs="Times New Roman"/>
                <w:color w:val="000000"/>
                <w:lang w:eastAsia="lv-LV"/>
              </w:rPr>
              <w:t>51,3</w:t>
            </w:r>
          </w:p>
        </w:tc>
        <w:tc>
          <w:tcPr>
            <w:tcW w:w="2410" w:type="dxa"/>
            <w:shd w:val="clear" w:color="auto" w:fill="auto"/>
            <w:noWrap/>
            <w:vAlign w:val="center"/>
          </w:tcPr>
          <w:p w14:paraId="1F371481" w14:textId="2C2535E6" w:rsidR="004A6FA5" w:rsidRPr="00F06F4E" w:rsidRDefault="004A6FA5" w:rsidP="00A213FC">
            <w:pPr>
              <w:spacing w:after="0" w:line="240" w:lineRule="auto"/>
              <w:jc w:val="right"/>
              <w:rPr>
                <w:rFonts w:ascii="Times New Roman" w:eastAsia="Times New Roman" w:hAnsi="Times New Roman" w:cs="Times New Roman"/>
                <w:color w:val="000000"/>
                <w:lang w:eastAsia="lv-LV"/>
              </w:rPr>
            </w:pPr>
            <w:r w:rsidRPr="00F06F4E">
              <w:rPr>
                <w:rFonts w:ascii="Times New Roman" w:eastAsia="Times New Roman" w:hAnsi="Times New Roman" w:cs="Times New Roman"/>
                <w:color w:val="000000"/>
                <w:lang w:eastAsia="lv-LV"/>
              </w:rPr>
              <w:t>51,3</w:t>
            </w:r>
          </w:p>
        </w:tc>
        <w:tc>
          <w:tcPr>
            <w:tcW w:w="1172" w:type="dxa"/>
            <w:vAlign w:val="center"/>
          </w:tcPr>
          <w:p w14:paraId="5E5AEB1D" w14:textId="219B9F00" w:rsidR="004A6FA5" w:rsidRPr="00F06F4E" w:rsidRDefault="005F6B89" w:rsidP="00A213FC">
            <w:pPr>
              <w:spacing w:after="0" w:line="240" w:lineRule="auto"/>
              <w:jc w:val="right"/>
              <w:rPr>
                <w:rFonts w:ascii="Times New Roman" w:eastAsia="Times New Roman" w:hAnsi="Times New Roman" w:cs="Times New Roman"/>
                <w:color w:val="000000"/>
                <w:lang w:eastAsia="lv-LV"/>
              </w:rPr>
            </w:pPr>
            <w:r w:rsidRPr="00F06F4E">
              <w:rPr>
                <w:rFonts w:ascii="Times New Roman" w:eastAsia="Times New Roman" w:hAnsi="Times New Roman" w:cs="Times New Roman"/>
                <w:color w:val="000000"/>
                <w:lang w:eastAsia="lv-LV"/>
              </w:rPr>
              <w:t>0%</w:t>
            </w:r>
          </w:p>
        </w:tc>
      </w:tr>
      <w:tr w:rsidR="004A6FA5" w:rsidRPr="00C43A44" w14:paraId="6EAC814F" w14:textId="2844042D" w:rsidTr="00A213FC">
        <w:trPr>
          <w:trHeight w:val="260"/>
        </w:trPr>
        <w:tc>
          <w:tcPr>
            <w:tcW w:w="3539" w:type="dxa"/>
            <w:shd w:val="clear" w:color="auto" w:fill="auto"/>
            <w:vAlign w:val="bottom"/>
            <w:hideMark/>
          </w:tcPr>
          <w:p w14:paraId="29ED260C" w14:textId="7DDAE70D" w:rsidR="004A6FA5" w:rsidRPr="00F06F4E" w:rsidRDefault="004A6FA5" w:rsidP="001D0FF3">
            <w:pPr>
              <w:spacing w:after="0" w:line="240" w:lineRule="auto"/>
              <w:rPr>
                <w:rFonts w:ascii="Times New Roman" w:eastAsia="Times New Roman" w:hAnsi="Times New Roman" w:cs="Times New Roman"/>
                <w:color w:val="000000"/>
                <w:lang w:eastAsia="lv-LV"/>
              </w:rPr>
            </w:pPr>
            <w:r w:rsidRPr="00F06F4E">
              <w:rPr>
                <w:rFonts w:ascii="Times New Roman" w:eastAsia="Times New Roman" w:hAnsi="Times New Roman" w:cs="Times New Roman"/>
                <w:color w:val="000000"/>
                <w:lang w:eastAsia="lv-LV"/>
              </w:rPr>
              <w:t>Nodokļu izmaksas</w:t>
            </w:r>
          </w:p>
        </w:tc>
        <w:tc>
          <w:tcPr>
            <w:tcW w:w="1701" w:type="dxa"/>
            <w:shd w:val="clear" w:color="auto" w:fill="auto"/>
            <w:noWrap/>
            <w:vAlign w:val="center"/>
          </w:tcPr>
          <w:p w14:paraId="72A2845B" w14:textId="6EBC6B6A" w:rsidR="004A6FA5" w:rsidRPr="00F06F4E" w:rsidRDefault="004A6FA5" w:rsidP="00A213FC">
            <w:pPr>
              <w:spacing w:after="0" w:line="240" w:lineRule="auto"/>
              <w:jc w:val="right"/>
              <w:rPr>
                <w:rFonts w:ascii="Times New Roman" w:eastAsia="Times New Roman" w:hAnsi="Times New Roman" w:cs="Times New Roman"/>
                <w:color w:val="000000"/>
                <w:lang w:eastAsia="lv-LV"/>
              </w:rPr>
            </w:pPr>
            <w:r w:rsidRPr="00F06F4E">
              <w:rPr>
                <w:rFonts w:ascii="Times New Roman" w:eastAsia="Times New Roman" w:hAnsi="Times New Roman" w:cs="Times New Roman"/>
                <w:color w:val="000000"/>
                <w:lang w:eastAsia="lv-LV"/>
              </w:rPr>
              <w:t>0,5</w:t>
            </w:r>
          </w:p>
        </w:tc>
        <w:tc>
          <w:tcPr>
            <w:tcW w:w="2410" w:type="dxa"/>
            <w:shd w:val="clear" w:color="auto" w:fill="auto"/>
            <w:noWrap/>
            <w:vAlign w:val="center"/>
          </w:tcPr>
          <w:p w14:paraId="5FBC978F" w14:textId="261CA452" w:rsidR="004A6FA5" w:rsidRPr="00F06F4E" w:rsidRDefault="004A6FA5" w:rsidP="00A213FC">
            <w:pPr>
              <w:spacing w:after="0" w:line="240" w:lineRule="auto"/>
              <w:jc w:val="right"/>
              <w:rPr>
                <w:rFonts w:ascii="Times New Roman" w:eastAsia="Times New Roman" w:hAnsi="Times New Roman" w:cs="Times New Roman"/>
                <w:color w:val="000000"/>
                <w:lang w:eastAsia="lv-LV"/>
              </w:rPr>
            </w:pPr>
            <w:r w:rsidRPr="00F06F4E">
              <w:rPr>
                <w:rFonts w:ascii="Times New Roman" w:eastAsia="Times New Roman" w:hAnsi="Times New Roman" w:cs="Times New Roman"/>
                <w:color w:val="000000"/>
                <w:lang w:eastAsia="lv-LV"/>
              </w:rPr>
              <w:t>0,5</w:t>
            </w:r>
          </w:p>
        </w:tc>
        <w:tc>
          <w:tcPr>
            <w:tcW w:w="1172" w:type="dxa"/>
            <w:vAlign w:val="center"/>
          </w:tcPr>
          <w:p w14:paraId="54610A50" w14:textId="7F48209E" w:rsidR="004A6FA5" w:rsidRPr="00F06F4E" w:rsidRDefault="005F6B89" w:rsidP="00A213FC">
            <w:pPr>
              <w:spacing w:after="0" w:line="240" w:lineRule="auto"/>
              <w:jc w:val="right"/>
              <w:rPr>
                <w:rFonts w:ascii="Times New Roman" w:eastAsia="Times New Roman" w:hAnsi="Times New Roman" w:cs="Times New Roman"/>
                <w:color w:val="000000"/>
                <w:lang w:eastAsia="lv-LV"/>
              </w:rPr>
            </w:pPr>
            <w:r w:rsidRPr="00F06F4E">
              <w:rPr>
                <w:rFonts w:ascii="Times New Roman" w:eastAsia="Times New Roman" w:hAnsi="Times New Roman" w:cs="Times New Roman"/>
                <w:color w:val="000000"/>
                <w:lang w:eastAsia="lv-LV"/>
              </w:rPr>
              <w:t>0%</w:t>
            </w:r>
          </w:p>
        </w:tc>
      </w:tr>
      <w:tr w:rsidR="004A6FA5" w:rsidRPr="00C43A44" w14:paraId="39FDDA35" w14:textId="46B42378" w:rsidTr="00A213FC">
        <w:trPr>
          <w:trHeight w:val="260"/>
        </w:trPr>
        <w:tc>
          <w:tcPr>
            <w:tcW w:w="3539" w:type="dxa"/>
            <w:shd w:val="clear" w:color="auto" w:fill="auto"/>
            <w:vAlign w:val="bottom"/>
            <w:hideMark/>
          </w:tcPr>
          <w:p w14:paraId="6AE9B6E5" w14:textId="04362C6C" w:rsidR="004A6FA5" w:rsidRPr="00F06F4E" w:rsidRDefault="004A6FA5" w:rsidP="001D0FF3">
            <w:pPr>
              <w:spacing w:after="0" w:line="240" w:lineRule="auto"/>
              <w:rPr>
                <w:rFonts w:ascii="Times New Roman" w:eastAsia="Times New Roman" w:hAnsi="Times New Roman" w:cs="Times New Roman"/>
                <w:color w:val="000000"/>
                <w:lang w:eastAsia="lv-LV"/>
              </w:rPr>
            </w:pPr>
            <w:r w:rsidRPr="00F06F4E">
              <w:rPr>
                <w:rFonts w:ascii="Times New Roman" w:eastAsia="Times New Roman" w:hAnsi="Times New Roman" w:cs="Times New Roman"/>
                <w:color w:val="000000"/>
                <w:lang w:eastAsia="lv-LV"/>
              </w:rPr>
              <w:t>Ekspluatācijas izmaksas</w:t>
            </w:r>
          </w:p>
        </w:tc>
        <w:tc>
          <w:tcPr>
            <w:tcW w:w="1701" w:type="dxa"/>
            <w:shd w:val="clear" w:color="auto" w:fill="auto"/>
            <w:noWrap/>
            <w:vAlign w:val="center"/>
          </w:tcPr>
          <w:p w14:paraId="4880C3D1" w14:textId="0C56A068" w:rsidR="004A6FA5" w:rsidRPr="00F06F4E" w:rsidRDefault="004A6FA5" w:rsidP="00A213FC">
            <w:pPr>
              <w:spacing w:after="0" w:line="240" w:lineRule="auto"/>
              <w:jc w:val="right"/>
              <w:rPr>
                <w:rFonts w:ascii="Times New Roman" w:eastAsia="Times New Roman" w:hAnsi="Times New Roman" w:cs="Times New Roman"/>
                <w:color w:val="000000"/>
                <w:lang w:eastAsia="lv-LV"/>
              </w:rPr>
            </w:pPr>
            <w:r w:rsidRPr="00F06F4E">
              <w:rPr>
                <w:rFonts w:ascii="Times New Roman" w:eastAsia="Times New Roman" w:hAnsi="Times New Roman" w:cs="Times New Roman"/>
                <w:color w:val="000000"/>
                <w:lang w:eastAsia="lv-LV"/>
              </w:rPr>
              <w:t>710,9</w:t>
            </w:r>
          </w:p>
        </w:tc>
        <w:tc>
          <w:tcPr>
            <w:tcW w:w="2410" w:type="dxa"/>
            <w:shd w:val="clear" w:color="auto" w:fill="auto"/>
            <w:noWrap/>
            <w:vAlign w:val="center"/>
          </w:tcPr>
          <w:p w14:paraId="0EE508FD" w14:textId="424B16EA" w:rsidR="004A6FA5" w:rsidRPr="00F06F4E" w:rsidRDefault="004A6FA5" w:rsidP="00A213FC">
            <w:pPr>
              <w:spacing w:after="0" w:line="240" w:lineRule="auto"/>
              <w:jc w:val="right"/>
              <w:rPr>
                <w:rFonts w:ascii="Times New Roman" w:eastAsia="Times New Roman" w:hAnsi="Times New Roman" w:cs="Times New Roman"/>
                <w:color w:val="000000"/>
                <w:lang w:eastAsia="lv-LV"/>
              </w:rPr>
            </w:pPr>
            <w:r w:rsidRPr="00F06F4E">
              <w:rPr>
                <w:rFonts w:ascii="Times New Roman" w:eastAsia="Times New Roman" w:hAnsi="Times New Roman" w:cs="Times New Roman"/>
                <w:color w:val="000000"/>
                <w:lang w:eastAsia="lv-LV"/>
              </w:rPr>
              <w:t>7</w:t>
            </w:r>
            <w:r w:rsidR="004A3BBF" w:rsidRPr="00F06F4E">
              <w:rPr>
                <w:rFonts w:ascii="Times New Roman" w:eastAsia="Times New Roman" w:hAnsi="Times New Roman" w:cs="Times New Roman"/>
                <w:color w:val="000000"/>
                <w:lang w:eastAsia="lv-LV"/>
              </w:rPr>
              <w:t>33</w:t>
            </w:r>
            <w:r w:rsidRPr="00F06F4E">
              <w:rPr>
                <w:rFonts w:ascii="Times New Roman" w:eastAsia="Times New Roman" w:hAnsi="Times New Roman" w:cs="Times New Roman"/>
                <w:color w:val="000000"/>
                <w:lang w:eastAsia="lv-LV"/>
              </w:rPr>
              <w:t>,</w:t>
            </w:r>
            <w:r w:rsidR="00731385" w:rsidRPr="00F06F4E">
              <w:rPr>
                <w:rFonts w:ascii="Times New Roman" w:eastAsia="Times New Roman" w:hAnsi="Times New Roman" w:cs="Times New Roman"/>
                <w:color w:val="000000"/>
                <w:lang w:eastAsia="lv-LV"/>
              </w:rPr>
              <w:t>8</w:t>
            </w:r>
            <w:r w:rsidRPr="00F06F4E">
              <w:rPr>
                <w:rFonts w:ascii="Times New Roman" w:eastAsia="Times New Roman" w:hAnsi="Times New Roman" w:cs="Times New Roman"/>
                <w:color w:val="000000"/>
                <w:lang w:eastAsia="lv-LV"/>
              </w:rPr>
              <w:t>7</w:t>
            </w:r>
          </w:p>
        </w:tc>
        <w:tc>
          <w:tcPr>
            <w:tcW w:w="1172" w:type="dxa"/>
            <w:vAlign w:val="center"/>
          </w:tcPr>
          <w:p w14:paraId="07C189BD" w14:textId="3719CC7C" w:rsidR="004A6FA5" w:rsidRPr="00F06F4E" w:rsidRDefault="00731385" w:rsidP="00A213FC">
            <w:pPr>
              <w:spacing w:after="0" w:line="240" w:lineRule="auto"/>
              <w:jc w:val="right"/>
              <w:rPr>
                <w:rFonts w:ascii="Times New Roman" w:eastAsia="Times New Roman" w:hAnsi="Times New Roman" w:cs="Times New Roman"/>
                <w:color w:val="000000"/>
                <w:lang w:eastAsia="lv-LV"/>
              </w:rPr>
            </w:pPr>
            <w:r w:rsidRPr="00F06F4E">
              <w:rPr>
                <w:rFonts w:ascii="Times New Roman" w:eastAsia="Times New Roman" w:hAnsi="Times New Roman" w:cs="Times New Roman"/>
                <w:color w:val="000000"/>
                <w:lang w:eastAsia="lv-LV"/>
              </w:rPr>
              <w:t>3</w:t>
            </w:r>
            <w:r w:rsidR="002C0537" w:rsidRPr="00F06F4E">
              <w:rPr>
                <w:rFonts w:ascii="Times New Roman" w:eastAsia="Times New Roman" w:hAnsi="Times New Roman" w:cs="Times New Roman"/>
                <w:color w:val="000000"/>
                <w:lang w:eastAsia="lv-LV"/>
              </w:rPr>
              <w:t>%</w:t>
            </w:r>
          </w:p>
        </w:tc>
      </w:tr>
      <w:tr w:rsidR="00C75215" w:rsidRPr="00C43A44" w14:paraId="0B67734D" w14:textId="77777777" w:rsidTr="00A213FC">
        <w:trPr>
          <w:trHeight w:val="280"/>
        </w:trPr>
        <w:tc>
          <w:tcPr>
            <w:tcW w:w="3539" w:type="dxa"/>
            <w:shd w:val="clear" w:color="auto" w:fill="auto"/>
            <w:vAlign w:val="bottom"/>
          </w:tcPr>
          <w:p w14:paraId="20306ADF" w14:textId="69E474D7" w:rsidR="00C75215" w:rsidRPr="00F06F4E" w:rsidRDefault="0090180F" w:rsidP="001D0FF3">
            <w:pPr>
              <w:spacing w:after="0" w:line="240" w:lineRule="auto"/>
              <w:rPr>
                <w:rFonts w:ascii="Times New Roman" w:eastAsia="Times New Roman" w:hAnsi="Times New Roman" w:cs="Times New Roman"/>
                <w:color w:val="000000"/>
                <w:lang w:eastAsia="lv-LV"/>
              </w:rPr>
            </w:pPr>
            <w:r w:rsidRPr="00F06F4E">
              <w:rPr>
                <w:rFonts w:ascii="Times New Roman" w:eastAsia="Times New Roman" w:hAnsi="Times New Roman" w:cs="Times New Roman"/>
                <w:color w:val="000000"/>
                <w:lang w:eastAsia="lv-LV"/>
              </w:rPr>
              <w:t>Izmaksu efektivitāte</w:t>
            </w:r>
          </w:p>
        </w:tc>
        <w:tc>
          <w:tcPr>
            <w:tcW w:w="1701" w:type="dxa"/>
            <w:shd w:val="clear" w:color="auto" w:fill="auto"/>
            <w:noWrap/>
            <w:vAlign w:val="center"/>
          </w:tcPr>
          <w:p w14:paraId="7C80BA12" w14:textId="43360745" w:rsidR="00C75215" w:rsidRPr="00F06F4E" w:rsidRDefault="002A6B44" w:rsidP="00A213FC">
            <w:pPr>
              <w:spacing w:after="0" w:line="240" w:lineRule="auto"/>
              <w:jc w:val="right"/>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w:t>
            </w:r>
            <w:r w:rsidR="00514DE6" w:rsidRPr="00F06F4E">
              <w:rPr>
                <w:rFonts w:ascii="Times New Roman" w:eastAsia="Times New Roman" w:hAnsi="Times New Roman" w:cs="Times New Roman"/>
                <w:color w:val="000000"/>
                <w:lang w:eastAsia="lv-LV"/>
              </w:rPr>
              <w:t>31,1</w:t>
            </w:r>
            <w:r>
              <w:rPr>
                <w:rFonts w:ascii="Times New Roman" w:eastAsia="Times New Roman" w:hAnsi="Times New Roman" w:cs="Times New Roman"/>
                <w:color w:val="000000"/>
                <w:lang w:eastAsia="lv-LV"/>
              </w:rPr>
              <w:t>)</w:t>
            </w:r>
          </w:p>
        </w:tc>
        <w:tc>
          <w:tcPr>
            <w:tcW w:w="2410" w:type="dxa"/>
            <w:shd w:val="clear" w:color="auto" w:fill="auto"/>
            <w:noWrap/>
            <w:vAlign w:val="center"/>
          </w:tcPr>
          <w:p w14:paraId="716F50EA" w14:textId="471B9064" w:rsidR="00C75215" w:rsidRPr="00F06F4E" w:rsidRDefault="002A6B44" w:rsidP="00A213FC">
            <w:pPr>
              <w:spacing w:after="0" w:line="240" w:lineRule="auto"/>
              <w:jc w:val="right"/>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w:t>
            </w:r>
            <w:r w:rsidR="005F6B89" w:rsidRPr="00F06F4E">
              <w:rPr>
                <w:rFonts w:ascii="Times New Roman" w:eastAsia="Times New Roman" w:hAnsi="Times New Roman" w:cs="Times New Roman"/>
                <w:color w:val="000000"/>
                <w:lang w:eastAsia="lv-LV"/>
              </w:rPr>
              <w:t>31,1</w:t>
            </w:r>
            <w:r>
              <w:rPr>
                <w:rFonts w:ascii="Times New Roman" w:eastAsia="Times New Roman" w:hAnsi="Times New Roman" w:cs="Times New Roman"/>
                <w:color w:val="000000"/>
                <w:lang w:eastAsia="lv-LV"/>
              </w:rPr>
              <w:t>)</w:t>
            </w:r>
          </w:p>
        </w:tc>
        <w:tc>
          <w:tcPr>
            <w:tcW w:w="1172" w:type="dxa"/>
            <w:vAlign w:val="center"/>
          </w:tcPr>
          <w:p w14:paraId="568019B7" w14:textId="757A8050" w:rsidR="00C75215" w:rsidRPr="00F06F4E" w:rsidRDefault="005F6B89" w:rsidP="00A213FC">
            <w:pPr>
              <w:spacing w:after="0" w:line="240" w:lineRule="auto"/>
              <w:jc w:val="right"/>
              <w:rPr>
                <w:rFonts w:ascii="Times New Roman" w:eastAsia="Times New Roman" w:hAnsi="Times New Roman" w:cs="Times New Roman"/>
                <w:color w:val="000000"/>
                <w:lang w:eastAsia="lv-LV"/>
              </w:rPr>
            </w:pPr>
            <w:r w:rsidRPr="00F06F4E">
              <w:rPr>
                <w:rFonts w:ascii="Times New Roman" w:eastAsia="Times New Roman" w:hAnsi="Times New Roman" w:cs="Times New Roman"/>
                <w:color w:val="000000"/>
                <w:lang w:eastAsia="lv-LV"/>
              </w:rPr>
              <w:t>0%</w:t>
            </w:r>
          </w:p>
        </w:tc>
      </w:tr>
      <w:tr w:rsidR="004A6FA5" w:rsidRPr="00C43A44" w14:paraId="08EB8CBF" w14:textId="015231A6" w:rsidTr="00A213FC">
        <w:trPr>
          <w:trHeight w:val="280"/>
        </w:trPr>
        <w:tc>
          <w:tcPr>
            <w:tcW w:w="3539" w:type="dxa"/>
            <w:shd w:val="clear" w:color="auto" w:fill="auto"/>
            <w:vAlign w:val="bottom"/>
            <w:hideMark/>
          </w:tcPr>
          <w:p w14:paraId="6E4F5AB9" w14:textId="77777777" w:rsidR="004A6FA5" w:rsidRPr="00C43A44" w:rsidRDefault="004A6FA5" w:rsidP="001D0FF3">
            <w:pPr>
              <w:spacing w:after="0" w:line="240" w:lineRule="auto"/>
              <w:rPr>
                <w:rFonts w:ascii="Times New Roman" w:eastAsia="Times New Roman" w:hAnsi="Times New Roman" w:cs="Times New Roman"/>
                <w:b/>
                <w:bCs/>
                <w:color w:val="000000"/>
                <w:lang w:eastAsia="lv-LV"/>
              </w:rPr>
            </w:pPr>
            <w:r w:rsidRPr="00C43A44">
              <w:rPr>
                <w:rFonts w:ascii="Times New Roman" w:eastAsia="Times New Roman" w:hAnsi="Times New Roman" w:cs="Times New Roman"/>
                <w:b/>
                <w:bCs/>
                <w:color w:val="000000"/>
                <w:lang w:eastAsia="lv-LV"/>
              </w:rPr>
              <w:t>Kopējās izmaksas</w:t>
            </w:r>
          </w:p>
        </w:tc>
        <w:tc>
          <w:tcPr>
            <w:tcW w:w="1701" w:type="dxa"/>
            <w:shd w:val="clear" w:color="auto" w:fill="auto"/>
            <w:noWrap/>
            <w:vAlign w:val="center"/>
          </w:tcPr>
          <w:p w14:paraId="58B67400" w14:textId="4C86C519" w:rsidR="004A6FA5" w:rsidRPr="00C43A44" w:rsidRDefault="004A6FA5" w:rsidP="00A213FC">
            <w:pPr>
              <w:spacing w:after="0" w:line="240" w:lineRule="auto"/>
              <w:jc w:val="right"/>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731,5</w:t>
            </w:r>
          </w:p>
        </w:tc>
        <w:tc>
          <w:tcPr>
            <w:tcW w:w="2410" w:type="dxa"/>
            <w:shd w:val="clear" w:color="auto" w:fill="auto"/>
            <w:noWrap/>
            <w:vAlign w:val="center"/>
          </w:tcPr>
          <w:p w14:paraId="6A8D1284" w14:textId="53F01CB3" w:rsidR="004A6FA5" w:rsidRPr="00C43A44" w:rsidRDefault="004A3BBF" w:rsidP="00A213FC">
            <w:pPr>
              <w:spacing w:after="0" w:line="240" w:lineRule="auto"/>
              <w:jc w:val="right"/>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754,57</w:t>
            </w:r>
          </w:p>
        </w:tc>
        <w:tc>
          <w:tcPr>
            <w:tcW w:w="1172" w:type="dxa"/>
            <w:vAlign w:val="center"/>
          </w:tcPr>
          <w:p w14:paraId="49476B45" w14:textId="73C690CD" w:rsidR="004A6FA5" w:rsidRDefault="00731385" w:rsidP="00A213FC">
            <w:pPr>
              <w:spacing w:after="0" w:line="240" w:lineRule="auto"/>
              <w:jc w:val="right"/>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3</w:t>
            </w:r>
            <w:r w:rsidR="00025541">
              <w:rPr>
                <w:rFonts w:ascii="Times New Roman" w:eastAsia="Times New Roman" w:hAnsi="Times New Roman" w:cs="Times New Roman"/>
                <w:b/>
                <w:bCs/>
                <w:color w:val="000000"/>
                <w:lang w:eastAsia="lv-LV"/>
              </w:rPr>
              <w:t>%</w:t>
            </w:r>
          </w:p>
        </w:tc>
      </w:tr>
      <w:tr w:rsidR="004A6FA5" w:rsidRPr="00C43A44" w14:paraId="3280D7B2" w14:textId="7C7A081A" w:rsidTr="00A213FC">
        <w:trPr>
          <w:trHeight w:val="280"/>
        </w:trPr>
        <w:tc>
          <w:tcPr>
            <w:tcW w:w="3539" w:type="dxa"/>
            <w:shd w:val="clear" w:color="auto" w:fill="auto"/>
            <w:vAlign w:val="center"/>
          </w:tcPr>
          <w:p w14:paraId="468724EC" w14:textId="2F7C400F" w:rsidR="004A6FA5" w:rsidRPr="002A6B44" w:rsidRDefault="004A6FA5" w:rsidP="008A225D">
            <w:pPr>
              <w:spacing w:after="0" w:line="240" w:lineRule="auto"/>
              <w:rPr>
                <w:rFonts w:ascii="Times New Roman" w:eastAsia="Times New Roman" w:hAnsi="Times New Roman" w:cs="Times New Roman"/>
                <w:color w:val="000000"/>
                <w:lang w:eastAsia="lv-LV"/>
              </w:rPr>
            </w:pPr>
            <w:r w:rsidRPr="002A6B44">
              <w:rPr>
                <w:rFonts w:ascii="Times New Roman" w:eastAsia="Times New Roman" w:hAnsi="Times New Roman" w:cs="Times New Roman"/>
                <w:color w:val="000000"/>
                <w:lang w:eastAsia="lv-LV"/>
              </w:rPr>
              <w:t>Tarifu aprēķinā izmantotais sadalītās elektroenerģijas apjoms, kWh</w:t>
            </w:r>
          </w:p>
        </w:tc>
        <w:tc>
          <w:tcPr>
            <w:tcW w:w="1701" w:type="dxa"/>
            <w:shd w:val="clear" w:color="auto" w:fill="auto"/>
            <w:noWrap/>
            <w:vAlign w:val="center"/>
          </w:tcPr>
          <w:p w14:paraId="49A04521" w14:textId="6BA07A0E" w:rsidR="004A6FA5" w:rsidRPr="002A6B44" w:rsidRDefault="004A6FA5" w:rsidP="00A213FC">
            <w:pPr>
              <w:spacing w:after="0" w:line="240" w:lineRule="auto"/>
              <w:jc w:val="right"/>
              <w:rPr>
                <w:rFonts w:ascii="Times New Roman" w:eastAsia="Times New Roman" w:hAnsi="Times New Roman" w:cs="Times New Roman"/>
                <w:color w:val="000000"/>
                <w:lang w:eastAsia="lv-LV"/>
              </w:rPr>
            </w:pPr>
            <w:r w:rsidRPr="002A6B44">
              <w:rPr>
                <w:rFonts w:ascii="Times New Roman" w:eastAsia="Times New Roman" w:hAnsi="Times New Roman" w:cs="Times New Roman"/>
                <w:color w:val="000000"/>
                <w:lang w:eastAsia="lv-LV"/>
              </w:rPr>
              <w:t>21 990 342,10</w:t>
            </w:r>
          </w:p>
        </w:tc>
        <w:tc>
          <w:tcPr>
            <w:tcW w:w="2410" w:type="dxa"/>
            <w:shd w:val="clear" w:color="auto" w:fill="auto"/>
            <w:noWrap/>
            <w:vAlign w:val="center"/>
          </w:tcPr>
          <w:p w14:paraId="2488E333" w14:textId="5D8392B7" w:rsidR="004A6FA5" w:rsidRPr="002A6B44" w:rsidRDefault="004A6FA5" w:rsidP="00A213FC">
            <w:pPr>
              <w:spacing w:after="0" w:line="240" w:lineRule="auto"/>
              <w:jc w:val="right"/>
              <w:rPr>
                <w:rFonts w:ascii="Times New Roman" w:eastAsia="Times New Roman" w:hAnsi="Times New Roman" w:cs="Times New Roman"/>
                <w:color w:val="000000"/>
                <w:lang w:eastAsia="lv-LV"/>
              </w:rPr>
            </w:pPr>
            <w:r w:rsidRPr="002A6B44">
              <w:rPr>
                <w:rFonts w:ascii="Times New Roman" w:eastAsia="Times New Roman" w:hAnsi="Times New Roman" w:cs="Times New Roman"/>
                <w:color w:val="000000"/>
                <w:lang w:eastAsia="lv-LV"/>
              </w:rPr>
              <w:t>13 794 252,00</w:t>
            </w:r>
          </w:p>
        </w:tc>
        <w:tc>
          <w:tcPr>
            <w:tcW w:w="1172" w:type="dxa"/>
            <w:vAlign w:val="center"/>
          </w:tcPr>
          <w:p w14:paraId="7095DAFB" w14:textId="026C3528" w:rsidR="00D05D76" w:rsidRPr="002A6B44" w:rsidRDefault="00C41C28" w:rsidP="00A213FC">
            <w:pPr>
              <w:spacing w:after="0" w:line="240" w:lineRule="auto"/>
              <w:jc w:val="right"/>
              <w:rPr>
                <w:rFonts w:ascii="Times New Roman" w:eastAsia="Times New Roman" w:hAnsi="Times New Roman" w:cs="Times New Roman"/>
                <w:color w:val="000000"/>
                <w:lang w:eastAsia="lv-LV"/>
              </w:rPr>
            </w:pPr>
            <w:r w:rsidRPr="002A6B44">
              <w:rPr>
                <w:rFonts w:ascii="Times New Roman" w:eastAsia="Times New Roman" w:hAnsi="Times New Roman" w:cs="Times New Roman"/>
                <w:color w:val="000000"/>
                <w:lang w:eastAsia="lv-LV"/>
              </w:rPr>
              <w:t>-37%</w:t>
            </w:r>
          </w:p>
        </w:tc>
      </w:tr>
    </w:tbl>
    <w:p w14:paraId="77830383" w14:textId="77777777" w:rsidR="0045411B" w:rsidRDefault="0045411B" w:rsidP="0045411B">
      <w:pPr>
        <w:jc w:val="both"/>
        <w:rPr>
          <w:rFonts w:ascii="Times New Roman" w:hAnsi="Times New Roman" w:cs="Times New Roman"/>
          <w:sz w:val="24"/>
          <w:szCs w:val="24"/>
        </w:rPr>
      </w:pPr>
    </w:p>
    <w:p w14:paraId="009DA625" w14:textId="071F0354" w:rsidR="00330C96" w:rsidRPr="00AB2265" w:rsidRDefault="001D0FF3" w:rsidP="00A213FC">
      <w:pPr>
        <w:jc w:val="both"/>
        <w:rPr>
          <w:rFonts w:ascii="Times New Roman" w:hAnsi="Times New Roman" w:cs="Times New Roman"/>
          <w:sz w:val="24"/>
          <w:szCs w:val="24"/>
        </w:rPr>
      </w:pPr>
      <w:r>
        <w:rPr>
          <w:rFonts w:ascii="Times New Roman" w:hAnsi="Times New Roman" w:cs="Times New Roman"/>
          <w:sz w:val="24"/>
          <w:szCs w:val="24"/>
        </w:rPr>
        <w:t>*</w:t>
      </w:r>
      <w:r w:rsidRPr="001D0FF3">
        <w:rPr>
          <w:rFonts w:ascii="Times New Roman" w:hAnsi="Times New Roman" w:cs="Times New Roman"/>
          <w:sz w:val="24"/>
          <w:szCs w:val="24"/>
        </w:rPr>
        <w:t xml:space="preserve"> Ņemot vērā Metodikas 29.1.apakšpunktā noteikto, uz nākamo tarifu periodu, kas sākas 202</w:t>
      </w:r>
      <w:r>
        <w:rPr>
          <w:rFonts w:ascii="Times New Roman" w:hAnsi="Times New Roman" w:cs="Times New Roman"/>
          <w:sz w:val="24"/>
          <w:szCs w:val="24"/>
        </w:rPr>
        <w:t>5</w:t>
      </w:r>
      <w:r w:rsidRPr="001D0FF3">
        <w:rPr>
          <w:rFonts w:ascii="Times New Roman" w:hAnsi="Times New Roman" w:cs="Times New Roman"/>
          <w:sz w:val="24"/>
          <w:szCs w:val="24"/>
        </w:rPr>
        <w:t>.gada 1.janvārī, ir tiesības attiecināt trīs procent</w:t>
      </w:r>
      <w:r>
        <w:rPr>
          <w:rFonts w:ascii="Times New Roman" w:hAnsi="Times New Roman" w:cs="Times New Roman"/>
          <w:sz w:val="24"/>
          <w:szCs w:val="24"/>
        </w:rPr>
        <w:t>us</w:t>
      </w:r>
      <w:r w:rsidRPr="001D0FF3">
        <w:rPr>
          <w:rFonts w:ascii="Times New Roman" w:hAnsi="Times New Roman" w:cs="Times New Roman"/>
          <w:sz w:val="24"/>
          <w:szCs w:val="24"/>
        </w:rPr>
        <w:t xml:space="preserve"> no pirmā tarifu perioda ekspluatācijas izmaksām, t.i., 2</w:t>
      </w:r>
      <w:r>
        <w:rPr>
          <w:rFonts w:ascii="Times New Roman" w:hAnsi="Times New Roman" w:cs="Times New Roman"/>
          <w:sz w:val="24"/>
          <w:szCs w:val="24"/>
        </w:rPr>
        <w:t>3 019,</w:t>
      </w:r>
      <w:r w:rsidR="00F03089">
        <w:rPr>
          <w:rFonts w:ascii="Times New Roman" w:hAnsi="Times New Roman" w:cs="Times New Roman"/>
          <w:sz w:val="24"/>
          <w:szCs w:val="24"/>
        </w:rPr>
        <w:t>2</w:t>
      </w:r>
      <w:r>
        <w:rPr>
          <w:rFonts w:ascii="Times New Roman" w:hAnsi="Times New Roman" w:cs="Times New Roman"/>
          <w:sz w:val="24"/>
          <w:szCs w:val="24"/>
        </w:rPr>
        <w:t xml:space="preserve">6 </w:t>
      </w:r>
      <w:r w:rsidRPr="001D0FF3">
        <w:rPr>
          <w:rFonts w:ascii="Times New Roman" w:hAnsi="Times New Roman" w:cs="Times New Roman"/>
          <w:i/>
          <w:iCs/>
          <w:sz w:val="24"/>
          <w:szCs w:val="24"/>
        </w:rPr>
        <w:t>euro</w:t>
      </w:r>
      <w:r>
        <w:rPr>
          <w:rFonts w:ascii="Times New Roman" w:hAnsi="Times New Roman" w:cs="Times New Roman"/>
          <w:sz w:val="24"/>
          <w:szCs w:val="24"/>
        </w:rPr>
        <w:t>.</w:t>
      </w:r>
    </w:p>
    <w:sectPr w:rsidR="00330C96" w:rsidRPr="00AB2265" w:rsidSect="001D0FF3">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93977"/>
    <w:multiLevelType w:val="hybridMultilevel"/>
    <w:tmpl w:val="4798EAE4"/>
    <w:lvl w:ilvl="0" w:tplc="B546DAD8">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CB6BDC"/>
    <w:multiLevelType w:val="hybridMultilevel"/>
    <w:tmpl w:val="BF4086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40566801">
    <w:abstractNumId w:val="1"/>
  </w:num>
  <w:num w:numId="2" w16cid:durableId="208491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96"/>
    <w:rsid w:val="00014871"/>
    <w:rsid w:val="00025541"/>
    <w:rsid w:val="00054943"/>
    <w:rsid w:val="00057524"/>
    <w:rsid w:val="000715E1"/>
    <w:rsid w:val="00072BD3"/>
    <w:rsid w:val="00110E73"/>
    <w:rsid w:val="001D0FF3"/>
    <w:rsid w:val="001D3A0F"/>
    <w:rsid w:val="001E2336"/>
    <w:rsid w:val="00203902"/>
    <w:rsid w:val="00241AAE"/>
    <w:rsid w:val="00281E3B"/>
    <w:rsid w:val="002A6B44"/>
    <w:rsid w:val="002C0537"/>
    <w:rsid w:val="002E00B3"/>
    <w:rsid w:val="002F395F"/>
    <w:rsid w:val="003155FB"/>
    <w:rsid w:val="003177A2"/>
    <w:rsid w:val="00325561"/>
    <w:rsid w:val="00330C96"/>
    <w:rsid w:val="00367D18"/>
    <w:rsid w:val="00374B12"/>
    <w:rsid w:val="00432E47"/>
    <w:rsid w:val="004368F7"/>
    <w:rsid w:val="00447242"/>
    <w:rsid w:val="0045411B"/>
    <w:rsid w:val="00465E8B"/>
    <w:rsid w:val="004A3BBF"/>
    <w:rsid w:val="004A6FA5"/>
    <w:rsid w:val="004E532C"/>
    <w:rsid w:val="004E7557"/>
    <w:rsid w:val="00514DE6"/>
    <w:rsid w:val="005176E2"/>
    <w:rsid w:val="005A5EFD"/>
    <w:rsid w:val="005F6B89"/>
    <w:rsid w:val="006571B2"/>
    <w:rsid w:val="007010EC"/>
    <w:rsid w:val="00731385"/>
    <w:rsid w:val="00782AE7"/>
    <w:rsid w:val="007D34B6"/>
    <w:rsid w:val="007E449A"/>
    <w:rsid w:val="0085603B"/>
    <w:rsid w:val="008A225D"/>
    <w:rsid w:val="008E2792"/>
    <w:rsid w:val="0090180F"/>
    <w:rsid w:val="00906D19"/>
    <w:rsid w:val="009138BD"/>
    <w:rsid w:val="009704CD"/>
    <w:rsid w:val="009D6E09"/>
    <w:rsid w:val="00A213FC"/>
    <w:rsid w:val="00A249A3"/>
    <w:rsid w:val="00A27269"/>
    <w:rsid w:val="00A458CA"/>
    <w:rsid w:val="00A66618"/>
    <w:rsid w:val="00A8699F"/>
    <w:rsid w:val="00AB2265"/>
    <w:rsid w:val="00B364A1"/>
    <w:rsid w:val="00B81C93"/>
    <w:rsid w:val="00B92EFC"/>
    <w:rsid w:val="00BC674C"/>
    <w:rsid w:val="00C34A32"/>
    <w:rsid w:val="00C41C28"/>
    <w:rsid w:val="00C65BE6"/>
    <w:rsid w:val="00C7082F"/>
    <w:rsid w:val="00C75215"/>
    <w:rsid w:val="00CB7836"/>
    <w:rsid w:val="00D05D76"/>
    <w:rsid w:val="00D60AEB"/>
    <w:rsid w:val="00D77E75"/>
    <w:rsid w:val="00D9520D"/>
    <w:rsid w:val="00DB5B4D"/>
    <w:rsid w:val="00DE5B9D"/>
    <w:rsid w:val="00DF1876"/>
    <w:rsid w:val="00E07238"/>
    <w:rsid w:val="00E24478"/>
    <w:rsid w:val="00EC6F21"/>
    <w:rsid w:val="00F03089"/>
    <w:rsid w:val="00F06F4E"/>
    <w:rsid w:val="00F54C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253D"/>
  <w15:chartTrackingRefBased/>
  <w15:docId w15:val="{9253970C-DCD2-4F91-9AA0-A87D7B91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330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330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330C96"/>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330C96"/>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330C96"/>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330C9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30C9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30C9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30C9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30C9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30C9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30C96"/>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30C96"/>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30C96"/>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330C9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30C9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30C9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30C9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30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30C9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30C9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30C9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30C9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30C96"/>
    <w:rPr>
      <w:i/>
      <w:iCs/>
      <w:color w:val="404040" w:themeColor="text1" w:themeTint="BF"/>
    </w:rPr>
  </w:style>
  <w:style w:type="paragraph" w:styleId="Sarakstarindkopa">
    <w:name w:val="List Paragraph"/>
    <w:basedOn w:val="Parasts"/>
    <w:uiPriority w:val="34"/>
    <w:qFormat/>
    <w:rsid w:val="00330C96"/>
    <w:pPr>
      <w:ind w:left="720"/>
      <w:contextualSpacing/>
    </w:pPr>
  </w:style>
  <w:style w:type="character" w:styleId="Intensvsizclums">
    <w:name w:val="Intense Emphasis"/>
    <w:basedOn w:val="Noklusjumarindkopasfonts"/>
    <w:uiPriority w:val="21"/>
    <w:qFormat/>
    <w:rsid w:val="00330C96"/>
    <w:rPr>
      <w:i/>
      <w:iCs/>
      <w:color w:val="0F4761" w:themeColor="accent1" w:themeShade="BF"/>
    </w:rPr>
  </w:style>
  <w:style w:type="paragraph" w:styleId="Intensvscitts">
    <w:name w:val="Intense Quote"/>
    <w:basedOn w:val="Parasts"/>
    <w:next w:val="Parasts"/>
    <w:link w:val="IntensvscittsRakstz"/>
    <w:uiPriority w:val="30"/>
    <w:qFormat/>
    <w:rsid w:val="00330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330C96"/>
    <w:rPr>
      <w:i/>
      <w:iCs/>
      <w:color w:val="0F4761" w:themeColor="accent1" w:themeShade="BF"/>
    </w:rPr>
  </w:style>
  <w:style w:type="character" w:styleId="Intensvaatsauce">
    <w:name w:val="Intense Reference"/>
    <w:basedOn w:val="Noklusjumarindkopasfonts"/>
    <w:uiPriority w:val="32"/>
    <w:qFormat/>
    <w:rsid w:val="00330C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2343</Words>
  <Characters>1337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Šaripova</dc:creator>
  <cp:keywords/>
  <dc:description/>
  <cp:lastModifiedBy>Jūlija Šaripova</cp:lastModifiedBy>
  <cp:revision>67</cp:revision>
  <dcterms:created xsi:type="dcterms:W3CDTF">2024-11-26T12:20:00Z</dcterms:created>
  <dcterms:modified xsi:type="dcterms:W3CDTF">2024-11-27T08:58:00Z</dcterms:modified>
</cp:coreProperties>
</file>