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C251" w14:textId="739D9A78" w:rsidR="004D6B38" w:rsidRPr="00AA05EC" w:rsidRDefault="004D6B38" w:rsidP="004D6B38">
      <w:pPr>
        <w:pStyle w:val="Default"/>
        <w:jc w:val="right"/>
        <w:rPr>
          <w:sz w:val="23"/>
          <w:szCs w:val="23"/>
        </w:rPr>
      </w:pPr>
    </w:p>
    <w:p w14:paraId="35F574B8" w14:textId="77777777" w:rsidR="00C23D60" w:rsidRPr="00AA05EC" w:rsidRDefault="00C23D60" w:rsidP="0066498E">
      <w:pPr>
        <w:spacing w:line="340" w:lineRule="exact"/>
        <w:rPr>
          <w:b/>
          <w:bCs/>
          <w:szCs w:val="24"/>
        </w:rPr>
      </w:pPr>
    </w:p>
    <w:p w14:paraId="248B81C6" w14:textId="77777777" w:rsidR="00C23D60" w:rsidRPr="00AA05EC" w:rsidRDefault="00C23D60" w:rsidP="0066498E">
      <w:pPr>
        <w:spacing w:line="340" w:lineRule="exact"/>
        <w:rPr>
          <w:b/>
          <w:bCs/>
          <w:szCs w:val="24"/>
        </w:rPr>
      </w:pPr>
    </w:p>
    <w:p w14:paraId="16FE54FC" w14:textId="0D2863E4" w:rsidR="00364967" w:rsidRPr="00AA05EC" w:rsidRDefault="0031277E" w:rsidP="00364967">
      <w:pPr>
        <w:spacing w:line="340" w:lineRule="exact"/>
        <w:rPr>
          <w:b/>
          <w:bCs/>
        </w:rPr>
      </w:pPr>
      <w:r>
        <w:rPr>
          <w:b/>
          <w:bCs/>
          <w:szCs w:val="24"/>
        </w:rPr>
        <w:t xml:space="preserve">Kopsavilkums </w:t>
      </w:r>
      <w:r w:rsidR="00364967" w:rsidRPr="00AA05EC">
        <w:rPr>
          <w:b/>
          <w:bCs/>
        </w:rPr>
        <w:t>SIA ,,BALOŽU KOMUNĀLĀ SAIMNIECĪBA</w:t>
      </w:r>
      <w:r w:rsidR="0045051A" w:rsidRPr="00AA05EC">
        <w:rPr>
          <w:b/>
          <w:bCs/>
        </w:rPr>
        <w:t>”</w:t>
      </w:r>
    </w:p>
    <w:p w14:paraId="360F0909" w14:textId="77777777" w:rsidR="00C8695E" w:rsidRPr="00AA05EC" w:rsidRDefault="00CC2254" w:rsidP="00364967">
      <w:pPr>
        <w:spacing w:line="340" w:lineRule="exact"/>
        <w:rPr>
          <w:b/>
          <w:bCs/>
          <w:szCs w:val="24"/>
        </w:rPr>
      </w:pPr>
      <w:r w:rsidRPr="00AA05EC">
        <w:rPr>
          <w:b/>
          <w:bCs/>
          <w:szCs w:val="24"/>
        </w:rPr>
        <w:t>noteikt</w:t>
      </w:r>
      <w:r w:rsidR="005B35CC" w:rsidRPr="00AA05EC">
        <w:rPr>
          <w:b/>
          <w:bCs/>
          <w:szCs w:val="24"/>
        </w:rPr>
        <w:t>ajiem</w:t>
      </w:r>
      <w:r w:rsidRPr="00AA05EC">
        <w:rPr>
          <w:b/>
          <w:szCs w:val="24"/>
        </w:rPr>
        <w:t xml:space="preserve"> (piedāvāt</w:t>
      </w:r>
      <w:r w:rsidR="005B35CC" w:rsidRPr="00AA05EC">
        <w:rPr>
          <w:b/>
          <w:szCs w:val="24"/>
        </w:rPr>
        <w:t>ajiem</w:t>
      </w:r>
      <w:r w:rsidRPr="00AA05EC">
        <w:rPr>
          <w:b/>
          <w:szCs w:val="24"/>
        </w:rPr>
        <w:t xml:space="preserve">) </w:t>
      </w:r>
      <w:r w:rsidR="0025536A" w:rsidRPr="00AA05EC">
        <w:rPr>
          <w:b/>
          <w:szCs w:val="24"/>
        </w:rPr>
        <w:t>s</w:t>
      </w:r>
      <w:r w:rsidR="0032665B" w:rsidRPr="00AA05EC">
        <w:rPr>
          <w:b/>
          <w:szCs w:val="24"/>
        </w:rPr>
        <w:t>iltumenerģijas</w:t>
      </w:r>
      <w:r w:rsidR="0025536A" w:rsidRPr="00AA05EC">
        <w:rPr>
          <w:b/>
          <w:szCs w:val="24"/>
        </w:rPr>
        <w:t xml:space="preserve"> </w:t>
      </w:r>
      <w:r w:rsidR="005B35CC" w:rsidRPr="00AA05EC">
        <w:rPr>
          <w:b/>
          <w:szCs w:val="24"/>
        </w:rPr>
        <w:t xml:space="preserve">apgādes pakalpojumu </w:t>
      </w:r>
      <w:r w:rsidR="001954FE" w:rsidRPr="00AA05EC">
        <w:rPr>
          <w:b/>
          <w:bCs/>
          <w:szCs w:val="24"/>
        </w:rPr>
        <w:t>tarif</w:t>
      </w:r>
      <w:r w:rsidR="005B35CC" w:rsidRPr="00AA05EC">
        <w:rPr>
          <w:b/>
          <w:bCs/>
          <w:szCs w:val="24"/>
        </w:rPr>
        <w:t>iem</w:t>
      </w:r>
    </w:p>
    <w:p w14:paraId="79DA6EAA" w14:textId="77777777" w:rsidR="00894B1D" w:rsidRPr="00AA05EC" w:rsidRDefault="00894B1D" w:rsidP="00C8695E">
      <w:pPr>
        <w:pStyle w:val="Default"/>
        <w:rPr>
          <w:sz w:val="23"/>
          <w:szCs w:val="23"/>
        </w:rPr>
      </w:pPr>
    </w:p>
    <w:p w14:paraId="4BD46C23" w14:textId="219B9309" w:rsidR="00F63B65" w:rsidRPr="00AA05EC" w:rsidRDefault="0046182D" w:rsidP="00955962">
      <w:pPr>
        <w:ind w:firstLine="720"/>
        <w:jc w:val="both"/>
        <w:rPr>
          <w:bCs/>
        </w:rPr>
      </w:pPr>
      <w:r w:rsidRPr="00AA05EC">
        <w:rPr>
          <w:bCs/>
        </w:rPr>
        <w:t xml:space="preserve">Saskaņā ar Sabiedrisko pakalpojumu regulēšanas komisijas </w:t>
      </w:r>
      <w:r w:rsidR="009B29AE" w:rsidRPr="00AA05EC">
        <w:rPr>
          <w:bCs/>
        </w:rPr>
        <w:t xml:space="preserve">(turpmāk – Regulators) </w:t>
      </w:r>
      <w:r w:rsidRPr="00AA05EC">
        <w:rPr>
          <w:bCs/>
        </w:rPr>
        <w:t xml:space="preserve">2010.gada 14.aprīļa </w:t>
      </w:r>
      <w:r w:rsidR="007957E1" w:rsidRPr="00AA05EC">
        <w:rPr>
          <w:bCs/>
        </w:rPr>
        <w:t>l</w:t>
      </w:r>
      <w:r w:rsidRPr="00AA05EC">
        <w:rPr>
          <w:bCs/>
        </w:rPr>
        <w:t xml:space="preserve">ēmuma Nr.1/7 </w:t>
      </w:r>
      <w:r w:rsidR="00AA05EC" w:rsidRPr="00AA05EC">
        <w:t>,,</w:t>
      </w:r>
      <w:r w:rsidRPr="00AA05EC">
        <w:rPr>
          <w:bCs/>
        </w:rPr>
        <w:t xml:space="preserve">Siltumenerģijas apgādes pakalpojumu tarifu aprēķināšanas metodika” </w:t>
      </w:r>
      <w:r w:rsidR="001F1E82" w:rsidRPr="00AA05EC">
        <w:rPr>
          <w:bCs/>
        </w:rPr>
        <w:t xml:space="preserve">(turpmāk – Metodika) </w:t>
      </w:r>
      <w:r w:rsidRPr="00AA05EC">
        <w:rPr>
          <w:bCs/>
        </w:rPr>
        <w:t>43.</w:t>
      </w:r>
      <w:r w:rsidRPr="00AA05EC">
        <w:rPr>
          <w:bCs/>
          <w:vertAlign w:val="superscript"/>
        </w:rPr>
        <w:t>9</w:t>
      </w:r>
      <w:r w:rsidRPr="00AA05EC">
        <w:rPr>
          <w:bCs/>
        </w:rPr>
        <w:t xml:space="preserve">punktu </w:t>
      </w:r>
      <w:r w:rsidR="009B29AE" w:rsidRPr="00AA05EC">
        <w:rPr>
          <w:bCs/>
        </w:rPr>
        <w:t>un saskaņā ar Regulatora 201</w:t>
      </w:r>
      <w:r w:rsidR="00364967" w:rsidRPr="00AA05EC">
        <w:rPr>
          <w:bCs/>
        </w:rPr>
        <w:t>9</w:t>
      </w:r>
      <w:r w:rsidR="009B29AE" w:rsidRPr="00AA05EC">
        <w:rPr>
          <w:bCs/>
        </w:rPr>
        <w:t xml:space="preserve">.gada </w:t>
      </w:r>
      <w:r w:rsidR="00364967" w:rsidRPr="00AA05EC">
        <w:rPr>
          <w:bCs/>
        </w:rPr>
        <w:t>27.septembra</w:t>
      </w:r>
      <w:r w:rsidR="009B29AE" w:rsidRPr="00AA05EC">
        <w:rPr>
          <w:bCs/>
        </w:rPr>
        <w:t xml:space="preserve"> lēmumu Nr.</w:t>
      </w:r>
      <w:r w:rsidR="00700935" w:rsidRPr="00AA05EC">
        <w:rPr>
          <w:bCs/>
        </w:rPr>
        <w:t xml:space="preserve">150 </w:t>
      </w:r>
      <w:r w:rsidR="00AA05EC" w:rsidRPr="00AA05EC">
        <w:t>,,</w:t>
      </w:r>
      <w:r w:rsidR="009B29AE" w:rsidRPr="00AA05EC">
        <w:t xml:space="preserve">Par </w:t>
      </w:r>
      <w:r w:rsidR="00700935" w:rsidRPr="00AA05EC">
        <w:rPr>
          <w:bCs/>
        </w:rPr>
        <w:t>tiesībām sabiedrībai ar ierobežotu atbildību „BALOŽU KOMUNĀLĀ SAIMNIECĪBA” noteikt siltumenerģijas apgādes pakalpojumu tarifus</w:t>
      </w:r>
      <w:r w:rsidR="00D314E3" w:rsidRPr="00AA05EC">
        <w:rPr>
          <w:bCs/>
        </w:rPr>
        <w:t>”</w:t>
      </w:r>
      <w:r w:rsidR="00D314E3" w:rsidRPr="00AA05EC">
        <w:t xml:space="preserve"> </w:t>
      </w:r>
      <w:r w:rsidR="00364967" w:rsidRPr="00AA05EC">
        <w:t>SIA ,,BALOŽU KOMUNĀLĀ SAIMNIECĪBA</w:t>
      </w:r>
      <w:r w:rsidR="00C156A5" w:rsidRPr="00AA05EC">
        <w:t>”</w:t>
      </w:r>
      <w:r w:rsidR="00054FA2" w:rsidRPr="00AA05EC">
        <w:rPr>
          <w:b/>
          <w:bCs/>
        </w:rPr>
        <w:t xml:space="preserve"> </w:t>
      </w:r>
      <w:r w:rsidR="00B272AA" w:rsidRPr="00AA05EC">
        <w:rPr>
          <w:bCs/>
        </w:rPr>
        <w:t>20</w:t>
      </w:r>
      <w:r w:rsidR="00A710DD">
        <w:rPr>
          <w:bCs/>
        </w:rPr>
        <w:t>20</w:t>
      </w:r>
      <w:r w:rsidR="00B272AA" w:rsidRPr="00AA05EC">
        <w:rPr>
          <w:bCs/>
        </w:rPr>
        <w:t xml:space="preserve">.gada </w:t>
      </w:r>
      <w:r w:rsidR="00A710DD">
        <w:rPr>
          <w:bCs/>
        </w:rPr>
        <w:t>19.oktobrī</w:t>
      </w:r>
      <w:r w:rsidR="0025536A" w:rsidRPr="00AA05EC">
        <w:rPr>
          <w:bCs/>
        </w:rPr>
        <w:t xml:space="preserve"> </w:t>
      </w:r>
      <w:r w:rsidR="00B272AA" w:rsidRPr="00AA05EC">
        <w:rPr>
          <w:bCs/>
        </w:rPr>
        <w:t xml:space="preserve">iesniedza </w:t>
      </w:r>
      <w:r w:rsidR="003F50E6" w:rsidRPr="00AA05EC">
        <w:rPr>
          <w:bCs/>
        </w:rPr>
        <w:t xml:space="preserve">Regulatorā </w:t>
      </w:r>
      <w:r w:rsidR="0045051A" w:rsidRPr="00AA05EC">
        <w:rPr>
          <w:bCs/>
        </w:rPr>
        <w:t xml:space="preserve">aprēķinātus </w:t>
      </w:r>
      <w:r w:rsidR="00CC2254" w:rsidRPr="00AA05EC">
        <w:rPr>
          <w:bCs/>
        </w:rPr>
        <w:t>noteikt</w:t>
      </w:r>
      <w:r w:rsidR="00054FA2" w:rsidRPr="00AA05EC">
        <w:rPr>
          <w:bCs/>
        </w:rPr>
        <w:t>o</w:t>
      </w:r>
      <w:r w:rsidR="0045051A" w:rsidRPr="00AA05EC">
        <w:rPr>
          <w:bCs/>
        </w:rPr>
        <w:t>s</w:t>
      </w:r>
      <w:r w:rsidR="00CC2254" w:rsidRPr="00AA05EC">
        <w:rPr>
          <w:bCs/>
        </w:rPr>
        <w:t xml:space="preserve"> (piedāvāt</w:t>
      </w:r>
      <w:r w:rsidR="00054FA2" w:rsidRPr="00AA05EC">
        <w:rPr>
          <w:bCs/>
        </w:rPr>
        <w:t>o</w:t>
      </w:r>
      <w:r w:rsidR="0045051A" w:rsidRPr="00AA05EC">
        <w:rPr>
          <w:bCs/>
        </w:rPr>
        <w:t>s</w:t>
      </w:r>
      <w:r w:rsidR="006B2567" w:rsidRPr="00AA05EC">
        <w:rPr>
          <w:bCs/>
        </w:rPr>
        <w:t>)</w:t>
      </w:r>
      <w:r w:rsidR="00CC2254" w:rsidRPr="00AA05EC">
        <w:rPr>
          <w:bCs/>
        </w:rPr>
        <w:t xml:space="preserve"> </w:t>
      </w:r>
      <w:r w:rsidR="00F63B65" w:rsidRPr="00AA05EC">
        <w:t xml:space="preserve">siltumenerģijas </w:t>
      </w:r>
      <w:r w:rsidR="00054FA2" w:rsidRPr="00AA05EC">
        <w:t xml:space="preserve">apgādes pakalpojumu </w:t>
      </w:r>
      <w:r w:rsidR="00F63B65" w:rsidRPr="00AA05EC">
        <w:rPr>
          <w:bCs/>
        </w:rPr>
        <w:t>tarif</w:t>
      </w:r>
      <w:r w:rsidR="00054FA2" w:rsidRPr="00AA05EC">
        <w:rPr>
          <w:bCs/>
        </w:rPr>
        <w:t>u</w:t>
      </w:r>
      <w:r w:rsidR="0045051A" w:rsidRPr="00AA05EC">
        <w:rPr>
          <w:bCs/>
        </w:rPr>
        <w:t>s</w:t>
      </w:r>
      <w:r w:rsidR="003F50E6" w:rsidRPr="00AA05EC">
        <w:rPr>
          <w:bCs/>
        </w:rPr>
        <w:t xml:space="preserve"> </w:t>
      </w:r>
      <w:r w:rsidR="004B1D33" w:rsidRPr="00AA05EC">
        <w:rPr>
          <w:bCs/>
        </w:rPr>
        <w:t>un</w:t>
      </w:r>
      <w:r w:rsidRPr="00AA05EC">
        <w:rPr>
          <w:bCs/>
        </w:rPr>
        <w:t xml:space="preserve"> pamatojumu jauna</w:t>
      </w:r>
      <w:r w:rsidR="00054FA2" w:rsidRPr="00AA05EC">
        <w:rPr>
          <w:bCs/>
        </w:rPr>
        <w:t>jiem</w:t>
      </w:r>
      <w:r w:rsidRPr="00AA05EC">
        <w:rPr>
          <w:bCs/>
        </w:rPr>
        <w:t xml:space="preserve"> tarif</w:t>
      </w:r>
      <w:r w:rsidR="00054FA2" w:rsidRPr="00AA05EC">
        <w:rPr>
          <w:bCs/>
        </w:rPr>
        <w:t>ie</w:t>
      </w:r>
      <w:r w:rsidRPr="00AA05EC">
        <w:rPr>
          <w:bCs/>
        </w:rPr>
        <w:t>m</w:t>
      </w:r>
      <w:r w:rsidR="00CF4898" w:rsidRPr="00AA05EC">
        <w:rPr>
          <w:bCs/>
        </w:rPr>
        <w:t xml:space="preserve">. </w:t>
      </w:r>
      <w:r w:rsidR="00713A2C" w:rsidRPr="00AA05EC">
        <w:rPr>
          <w:bCs/>
        </w:rPr>
        <w:t xml:space="preserve"> </w:t>
      </w:r>
    </w:p>
    <w:p w14:paraId="2F4568A3" w14:textId="77777777" w:rsidR="00041A54" w:rsidRPr="00AA05EC" w:rsidRDefault="00041A54" w:rsidP="00955962">
      <w:pPr>
        <w:pStyle w:val="Default"/>
        <w:ind w:firstLine="720"/>
      </w:pPr>
    </w:p>
    <w:p w14:paraId="14CBFA9A" w14:textId="7A2484B7" w:rsidR="00C23D60" w:rsidRPr="00AA05EC" w:rsidRDefault="00C23D60" w:rsidP="002C57C4">
      <w:pPr>
        <w:ind w:firstLine="720"/>
        <w:jc w:val="both"/>
        <w:rPr>
          <w:b/>
        </w:rPr>
      </w:pPr>
      <w:r w:rsidRPr="00AA05EC">
        <w:t xml:space="preserve">Paziņojums par noteikto (piedāvāto) siltumenerģijas tarifu publicēts oficiālajā izdevumā </w:t>
      </w:r>
      <w:r w:rsidR="00AA05EC" w:rsidRPr="00AA05EC">
        <w:t>,,</w:t>
      </w:r>
      <w:r w:rsidRPr="00AA05EC">
        <w:t>Latvijas Vēstnesis” 20</w:t>
      </w:r>
      <w:r w:rsidR="00A710DD">
        <w:t>20</w:t>
      </w:r>
      <w:r w:rsidRPr="00AA05EC">
        <w:t xml:space="preserve">.gada </w:t>
      </w:r>
      <w:r w:rsidR="00C32DBE" w:rsidRPr="00C32DBE">
        <w:t>20.</w:t>
      </w:r>
      <w:r w:rsidR="00A710DD" w:rsidRPr="00C32DBE">
        <w:t>oktobrī</w:t>
      </w:r>
      <w:r w:rsidR="00AA05EC" w:rsidRPr="00C32DBE">
        <w:t>,</w:t>
      </w:r>
      <w:r w:rsidRPr="00C32DBE">
        <w:t xml:space="preserve"> </w:t>
      </w:r>
      <w:r w:rsidR="00FD2086" w:rsidRPr="00C32DBE">
        <w:t>2</w:t>
      </w:r>
      <w:r w:rsidR="00C32DBE" w:rsidRPr="00C32DBE">
        <w:t>03</w:t>
      </w:r>
      <w:r w:rsidR="000D68B6" w:rsidRPr="00C32DBE">
        <w:t>.nr.</w:t>
      </w:r>
      <w:r w:rsidR="00AA05EC" w:rsidRPr="00C32DBE">
        <w:t>,</w:t>
      </w:r>
      <w:r w:rsidRPr="00C32DBE">
        <w:t xml:space="preserve"> un kā</w:t>
      </w:r>
      <w:r w:rsidRPr="00AA05EC">
        <w:t xml:space="preserve"> noteikto (piedāvāto) tarifu spēkā stāšanās datums </w:t>
      </w:r>
      <w:r w:rsidR="00CF4898" w:rsidRPr="00AA05EC">
        <w:t xml:space="preserve">(pirmajam tarifu piemērošanas periodam) </w:t>
      </w:r>
      <w:r w:rsidRPr="00AA05EC">
        <w:t>norādīts 20</w:t>
      </w:r>
      <w:r w:rsidR="002C57C4" w:rsidRPr="00AA05EC">
        <w:t>20</w:t>
      </w:r>
      <w:r w:rsidRPr="00AA05EC">
        <w:t xml:space="preserve">.gada </w:t>
      </w:r>
      <w:r w:rsidR="00A5346E" w:rsidRPr="00AA05EC">
        <w:t>1.</w:t>
      </w:r>
      <w:r w:rsidR="00A710DD">
        <w:t>decembr</w:t>
      </w:r>
      <w:r w:rsidR="00364967" w:rsidRPr="00AA05EC">
        <w:t>is</w:t>
      </w:r>
      <w:r w:rsidRPr="00AA05EC">
        <w:t>.</w:t>
      </w:r>
    </w:p>
    <w:p w14:paraId="7059A110" w14:textId="77777777" w:rsidR="00C23D60" w:rsidRPr="00AA05EC" w:rsidRDefault="00C23D60" w:rsidP="00700935">
      <w:pPr>
        <w:rPr>
          <w:szCs w:val="24"/>
        </w:rPr>
      </w:pPr>
    </w:p>
    <w:p w14:paraId="0DCAD383" w14:textId="77777777" w:rsidR="00C23D60" w:rsidRPr="00AA05EC" w:rsidRDefault="00C23D60" w:rsidP="00700935">
      <w:pPr>
        <w:pStyle w:val="Default"/>
        <w:ind w:firstLine="720"/>
      </w:pPr>
    </w:p>
    <w:p w14:paraId="3920F672" w14:textId="296E3531" w:rsidR="006D7243" w:rsidRPr="00AA05EC" w:rsidRDefault="00364967" w:rsidP="00700935">
      <w:pPr>
        <w:ind w:firstLine="720"/>
        <w:jc w:val="both"/>
      </w:pPr>
      <w:r w:rsidRPr="00AA05EC">
        <w:t>SIA ,,BALOŽU KOMUNĀLĀ SAIMNIECĪBA</w:t>
      </w:r>
      <w:r w:rsidR="003E12B5" w:rsidRPr="00AA05EC">
        <w:t>”</w:t>
      </w:r>
      <w:r w:rsidRPr="00AA05EC">
        <w:t xml:space="preserve"> </w:t>
      </w:r>
      <w:r w:rsidR="002C57C4" w:rsidRPr="00AA05EC">
        <w:t>piemēro noteikto</w:t>
      </w:r>
      <w:r w:rsidR="003D1826" w:rsidRPr="00AA05EC">
        <w:t xml:space="preserve"> </w:t>
      </w:r>
      <w:r w:rsidR="0016790C" w:rsidRPr="00AA05EC">
        <w:t>gala tarif</w:t>
      </w:r>
      <w:r w:rsidR="002C57C4" w:rsidRPr="00AA05EC">
        <w:t>u</w:t>
      </w:r>
      <w:r w:rsidR="0016790C" w:rsidRPr="00AA05EC">
        <w:t xml:space="preserve"> </w:t>
      </w:r>
      <w:r w:rsidR="00A710DD">
        <w:t>60,97</w:t>
      </w:r>
      <w:r w:rsidR="00AA05EC">
        <w:t> </w:t>
      </w:r>
      <w:r w:rsidR="00430F7E" w:rsidRPr="00AA05EC">
        <w:t>EUR/</w:t>
      </w:r>
      <w:proofErr w:type="spellStart"/>
      <w:r w:rsidR="00430F7E" w:rsidRPr="00AA05EC">
        <w:t>MWh</w:t>
      </w:r>
      <w:proofErr w:type="spellEnd"/>
      <w:r w:rsidR="00430F7E" w:rsidRPr="00AA05EC">
        <w:t xml:space="preserve"> </w:t>
      </w:r>
      <w:r w:rsidR="00276B53" w:rsidRPr="00AA05EC">
        <w:t>(</w:t>
      </w:r>
      <w:r w:rsidR="0016790C" w:rsidRPr="00AA05EC">
        <w:t>tarifs ar neparedzēto i</w:t>
      </w:r>
      <w:r w:rsidR="003D1826" w:rsidRPr="00AA05EC">
        <w:t>zmaksu</w:t>
      </w:r>
      <w:r w:rsidR="0016790C" w:rsidRPr="00AA05EC">
        <w:t xml:space="preserve"> korekciju</w:t>
      </w:r>
      <w:r w:rsidR="00276B53" w:rsidRPr="00AA05EC">
        <w:t>)</w:t>
      </w:r>
      <w:r w:rsidR="00AA05EC">
        <w:t>,</w:t>
      </w:r>
      <w:r w:rsidR="00276B53" w:rsidRPr="00AA05EC">
        <w:t xml:space="preserve"> un </w:t>
      </w:r>
      <w:r w:rsidR="002C57C4" w:rsidRPr="00AA05EC">
        <w:t xml:space="preserve">spēkā esošs ir noteiktais tarifs </w:t>
      </w:r>
      <w:r w:rsidR="00276B53" w:rsidRPr="00AA05EC">
        <w:t xml:space="preserve"> </w:t>
      </w:r>
      <w:r w:rsidR="00A710DD">
        <w:t>56,55</w:t>
      </w:r>
      <w:r w:rsidR="00AA05EC">
        <w:t> </w:t>
      </w:r>
      <w:r w:rsidR="00430F7E" w:rsidRPr="00AA05EC">
        <w:t>EUR/</w:t>
      </w:r>
      <w:proofErr w:type="spellStart"/>
      <w:r w:rsidR="00430F7E" w:rsidRPr="00AA05EC">
        <w:t>MWh</w:t>
      </w:r>
      <w:proofErr w:type="spellEnd"/>
      <w:r w:rsidR="00276B53" w:rsidRPr="00AA05EC">
        <w:t xml:space="preserve"> no </w:t>
      </w:r>
      <w:r w:rsidR="0016790C" w:rsidRPr="00AA05EC">
        <w:t>2021.gada 1.</w:t>
      </w:r>
      <w:r w:rsidR="003D1826" w:rsidRPr="00AA05EC">
        <w:t>februāra</w:t>
      </w:r>
      <w:r w:rsidR="00BD2C7A" w:rsidRPr="00AA05EC">
        <w:t xml:space="preserve">. </w:t>
      </w:r>
    </w:p>
    <w:p w14:paraId="409B538C" w14:textId="77777777" w:rsidR="00BD2C7A" w:rsidRPr="00AA05EC" w:rsidRDefault="00BD2C7A" w:rsidP="00C23D60">
      <w:pPr>
        <w:ind w:firstLine="720"/>
        <w:jc w:val="right"/>
        <w:rPr>
          <w:rFonts w:eastAsia="Calibri"/>
          <w:color w:val="000000"/>
        </w:rPr>
      </w:pPr>
    </w:p>
    <w:tbl>
      <w:tblPr>
        <w:tblW w:w="9462" w:type="dxa"/>
        <w:tblLook w:val="04A0" w:firstRow="1" w:lastRow="0" w:firstColumn="1" w:lastColumn="0" w:noHBand="0" w:noVBand="1"/>
      </w:tblPr>
      <w:tblGrid>
        <w:gridCol w:w="2122"/>
        <w:gridCol w:w="1417"/>
        <w:gridCol w:w="1315"/>
        <w:gridCol w:w="960"/>
        <w:gridCol w:w="1308"/>
        <w:gridCol w:w="1380"/>
        <w:gridCol w:w="960"/>
      </w:tblGrid>
      <w:tr w:rsidR="0000493E" w:rsidRPr="0000493E" w14:paraId="44CB5BC0" w14:textId="77777777" w:rsidTr="0000493E">
        <w:trPr>
          <w:trHeight w:val="10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16D6" w14:textId="77777777" w:rsidR="0000493E" w:rsidRPr="0000493E" w:rsidRDefault="0000493E" w:rsidP="000049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BFB2" w14:textId="77777777" w:rsidR="0000493E" w:rsidRPr="0000493E" w:rsidRDefault="0000493E" w:rsidP="000049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Noteiktais tarifs līdz 31.01.2021.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F317" w14:textId="77777777" w:rsidR="0000493E" w:rsidRPr="0000493E" w:rsidRDefault="0000493E" w:rsidP="000049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Noteiktais (piedāvātais) tarifs līdz 31.01.2021.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88BAFA" w14:textId="77777777" w:rsidR="0000493E" w:rsidRPr="0000493E" w:rsidRDefault="0000493E" w:rsidP="0000493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2"/>
                <w:lang w:eastAsia="lv-LV"/>
              </w:rPr>
              <w:t>Izmaiņas, 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1250" w14:textId="77777777" w:rsidR="0000493E" w:rsidRPr="0000493E" w:rsidRDefault="0000493E" w:rsidP="000049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Noteiktais tarifs no 01.02.2021.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6CE5" w14:textId="77777777" w:rsidR="0000493E" w:rsidRPr="0000493E" w:rsidRDefault="0000493E" w:rsidP="000049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Noteiktais (piedāvātais) tarifs no 01.02.2021.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E73AE5" w14:textId="77777777" w:rsidR="0000493E" w:rsidRPr="0000493E" w:rsidRDefault="0000493E" w:rsidP="0000493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2"/>
                <w:lang w:eastAsia="lv-LV"/>
              </w:rPr>
              <w:t>Izmaiņas, %</w:t>
            </w:r>
          </w:p>
        </w:tc>
      </w:tr>
      <w:tr w:rsidR="0000493E" w:rsidRPr="0000493E" w14:paraId="65373FC4" w14:textId="77777777" w:rsidTr="0000493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B88E" w14:textId="77777777" w:rsidR="0000493E" w:rsidRPr="0000493E" w:rsidRDefault="0000493E" w:rsidP="0000493E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Ražošanas tarifs, EUR/</w:t>
            </w:r>
            <w:proofErr w:type="spellStart"/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754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49,84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1FE3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4785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-4,3%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7D20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46,09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1D3A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036D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-4,7%</w:t>
            </w:r>
          </w:p>
        </w:tc>
      </w:tr>
      <w:tr w:rsidR="0000493E" w:rsidRPr="0000493E" w14:paraId="4DE0ACDB" w14:textId="77777777" w:rsidTr="0000493E">
        <w:trPr>
          <w:trHeight w:val="5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33DF" w14:textId="77777777" w:rsidR="0000493E" w:rsidRPr="0000493E" w:rsidRDefault="0000493E" w:rsidP="0000493E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Pārvades un sadales tarifs, EUR/</w:t>
            </w:r>
            <w:proofErr w:type="spellStart"/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BA8C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39BE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004C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-3,5%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2805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1B71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6670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-3,7%</w:t>
            </w:r>
          </w:p>
        </w:tc>
      </w:tr>
      <w:tr w:rsidR="0000493E" w:rsidRPr="0000493E" w14:paraId="0B72B53D" w14:textId="77777777" w:rsidTr="0000493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230D" w14:textId="77777777" w:rsidR="0000493E" w:rsidRPr="0000493E" w:rsidRDefault="0000493E" w:rsidP="0000493E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Tirdzniecības tarifs, EUR/</w:t>
            </w:r>
            <w:proofErr w:type="spellStart"/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8D3B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CC4E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84D5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B791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2DDD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3840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00493E" w:rsidRPr="0000493E" w14:paraId="74BBC389" w14:textId="77777777" w:rsidTr="0000493E">
        <w:trPr>
          <w:trHeight w:val="5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8B4C" w14:textId="77777777" w:rsidR="0000493E" w:rsidRPr="0000493E" w:rsidRDefault="0000493E" w:rsidP="0000493E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Siltumenerģijas gala tarifs, EUR/</w:t>
            </w:r>
            <w:proofErr w:type="spellStart"/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CDE8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60,97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1B51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CAB2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-4,2%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C117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56,55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728F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C4AC" w14:textId="77777777" w:rsidR="0000493E" w:rsidRPr="0000493E" w:rsidRDefault="0000493E" w:rsidP="0000493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00493E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-4,5%</w:t>
            </w:r>
          </w:p>
        </w:tc>
      </w:tr>
    </w:tbl>
    <w:p w14:paraId="1DE2682D" w14:textId="77777777" w:rsidR="007A07AC" w:rsidRPr="00AA05EC" w:rsidRDefault="007A07AC" w:rsidP="00C23D60">
      <w:pPr>
        <w:ind w:firstLine="720"/>
        <w:jc w:val="right"/>
        <w:rPr>
          <w:rFonts w:eastAsia="Calibri"/>
          <w:color w:val="000000"/>
        </w:rPr>
      </w:pPr>
    </w:p>
    <w:p w14:paraId="11C3442B" w14:textId="239257D2" w:rsidR="00CF4898" w:rsidRPr="00AA05EC" w:rsidRDefault="00054FA2" w:rsidP="006B2567">
      <w:pPr>
        <w:ind w:firstLine="720"/>
        <w:jc w:val="both"/>
      </w:pPr>
      <w:r w:rsidRPr="00AA05EC">
        <w:t>S</w:t>
      </w:r>
      <w:r w:rsidR="00655FB3" w:rsidRPr="00AA05EC">
        <w:t>iltumenerģijas tarif</w:t>
      </w:r>
      <w:r w:rsidR="00CF4898" w:rsidRPr="00AA05EC">
        <w:t>u</w:t>
      </w:r>
      <w:r w:rsidR="00655FB3" w:rsidRPr="00AA05EC">
        <w:t xml:space="preserve"> </w:t>
      </w:r>
      <w:r w:rsidR="006D7243" w:rsidRPr="00AA05EC">
        <w:t>samazinājums</w:t>
      </w:r>
      <w:r w:rsidR="00655FB3" w:rsidRPr="00AA05EC">
        <w:t xml:space="preserve"> saistāms ar </w:t>
      </w:r>
      <w:r w:rsidR="003D1826" w:rsidRPr="00AA05EC">
        <w:t>iepirktās siltumenerģijas izmaksu</w:t>
      </w:r>
      <w:r w:rsidR="00276B53" w:rsidRPr="00AA05EC">
        <w:t xml:space="preserve"> samazinājumu.  </w:t>
      </w:r>
    </w:p>
    <w:p w14:paraId="0B1AD37B" w14:textId="77777777" w:rsidR="006B2567" w:rsidRPr="00AA05EC" w:rsidRDefault="006B2567" w:rsidP="006B2567">
      <w:pPr>
        <w:spacing w:line="220" w:lineRule="exact"/>
        <w:ind w:firstLine="720"/>
        <w:jc w:val="both"/>
      </w:pPr>
    </w:p>
    <w:p w14:paraId="1F2FCF75" w14:textId="77777777" w:rsidR="001932A3" w:rsidRPr="00AA05EC" w:rsidRDefault="001932A3" w:rsidP="001932A3">
      <w:pPr>
        <w:pStyle w:val="Default"/>
        <w:ind w:firstLine="720"/>
        <w:jc w:val="both"/>
      </w:pPr>
      <w:r w:rsidRPr="00AA05EC">
        <w:t xml:space="preserve">Noteikto (piedāvāto) siltumenerģijas apgādes pakalpojumu </w:t>
      </w:r>
      <w:r w:rsidRPr="00AA05EC">
        <w:rPr>
          <w:bCs/>
          <w:sz w:val="23"/>
          <w:szCs w:val="23"/>
        </w:rPr>
        <w:t xml:space="preserve">tarifu veidojošo izmaksu salīdzinājums ar </w:t>
      </w:r>
      <w:r w:rsidR="002C57C4" w:rsidRPr="00AA05EC">
        <w:rPr>
          <w:bCs/>
          <w:sz w:val="23"/>
          <w:szCs w:val="23"/>
        </w:rPr>
        <w:t>noteikto</w:t>
      </w:r>
      <w:r w:rsidRPr="00AA05EC">
        <w:rPr>
          <w:bCs/>
          <w:sz w:val="23"/>
          <w:szCs w:val="23"/>
        </w:rPr>
        <w:t xml:space="preserve"> </w:t>
      </w:r>
      <w:r w:rsidR="00276B53" w:rsidRPr="00AA05EC">
        <w:rPr>
          <w:bCs/>
          <w:sz w:val="23"/>
          <w:szCs w:val="23"/>
        </w:rPr>
        <w:t xml:space="preserve"> </w:t>
      </w:r>
      <w:r w:rsidRPr="00AA05EC">
        <w:rPr>
          <w:bCs/>
          <w:sz w:val="23"/>
          <w:szCs w:val="23"/>
        </w:rPr>
        <w:t>tarifu</w:t>
      </w:r>
      <w:r w:rsidRPr="00AA05EC">
        <w:t xml:space="preserve"> veidojošajām izmaksām: </w:t>
      </w:r>
      <w:r w:rsidR="00C23D60" w:rsidRPr="00AA05EC">
        <w:t xml:space="preserve"> </w:t>
      </w:r>
    </w:p>
    <w:p w14:paraId="083670B5" w14:textId="77777777" w:rsidR="00CF4898" w:rsidRPr="00AA05EC" w:rsidRDefault="00CF4898" w:rsidP="00CF4898">
      <w:pPr>
        <w:pStyle w:val="Default"/>
        <w:ind w:firstLine="720"/>
        <w:jc w:val="right"/>
      </w:pPr>
    </w:p>
    <w:tbl>
      <w:tblPr>
        <w:tblW w:w="9744" w:type="dxa"/>
        <w:tblLook w:val="04A0" w:firstRow="1" w:lastRow="0" w:firstColumn="1" w:lastColumn="0" w:noHBand="0" w:noVBand="1"/>
      </w:tblPr>
      <w:tblGrid>
        <w:gridCol w:w="2830"/>
        <w:gridCol w:w="1276"/>
        <w:gridCol w:w="1300"/>
        <w:gridCol w:w="960"/>
        <w:gridCol w:w="1166"/>
        <w:gridCol w:w="1252"/>
        <w:gridCol w:w="960"/>
      </w:tblGrid>
      <w:tr w:rsidR="00535882" w:rsidRPr="00535882" w14:paraId="7170355A" w14:textId="77777777" w:rsidTr="00535882">
        <w:trPr>
          <w:trHeight w:val="1281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3433" w14:textId="77777777" w:rsidR="00535882" w:rsidRPr="00535882" w:rsidRDefault="00535882" w:rsidP="0053588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Izmaksu pozīcijas / </w:t>
            </w:r>
            <w:proofErr w:type="spellStart"/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tūkst.EUR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53AE" w14:textId="77777777" w:rsidR="00535882" w:rsidRPr="00535882" w:rsidRDefault="00535882" w:rsidP="0053588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Noteiktais  tarifs līdz 31.01.2021.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1B2A" w14:textId="77777777" w:rsidR="00535882" w:rsidRPr="00535882" w:rsidRDefault="00535882" w:rsidP="0053588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Noteiktais (piedāvātais) tarifs līdz 31.01.2021.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1E21C1C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Izmaiņas, %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2FC4" w14:textId="77777777" w:rsidR="00535882" w:rsidRPr="00535882" w:rsidRDefault="00535882" w:rsidP="0053588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Noteiktais tarifs no 01.02.2021.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6AFC" w14:textId="77777777" w:rsidR="00535882" w:rsidRPr="00535882" w:rsidRDefault="00535882" w:rsidP="0053588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Noteiktais (piedāvātais) tarifs no 01.02.2021.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5B3E42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Izmaiņas, %</w:t>
            </w:r>
          </w:p>
        </w:tc>
      </w:tr>
      <w:tr w:rsidR="00535882" w:rsidRPr="00535882" w14:paraId="46F88705" w14:textId="77777777" w:rsidTr="00535882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B38E" w14:textId="77777777" w:rsidR="00535882" w:rsidRPr="00535882" w:rsidRDefault="00535882" w:rsidP="0053588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Elektroenerģijas un ūdens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4426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3F7E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AEDF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2A4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C16A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F8AA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</w:tr>
      <w:tr w:rsidR="00535882" w:rsidRPr="00535882" w14:paraId="6F13F185" w14:textId="77777777" w:rsidTr="00535882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EEC" w14:textId="77777777" w:rsidR="00535882" w:rsidRPr="00535882" w:rsidRDefault="00535882" w:rsidP="0053588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Iepirktā siltumenerģija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60FC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894,4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87CD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9EAA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-4,7%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9567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894,4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92B8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71E2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-4,7%</w:t>
            </w:r>
          </w:p>
        </w:tc>
      </w:tr>
      <w:tr w:rsidR="00535882" w:rsidRPr="00535882" w14:paraId="17F26E9C" w14:textId="77777777" w:rsidTr="00535882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766C" w14:textId="77777777" w:rsidR="00535882" w:rsidRPr="00535882" w:rsidRDefault="00535882" w:rsidP="0053588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Neparedzētās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F7DC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78AF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892C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2E49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5D12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3801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0,0%</w:t>
            </w:r>
          </w:p>
        </w:tc>
      </w:tr>
      <w:tr w:rsidR="00535882" w:rsidRPr="00535882" w14:paraId="50BAEC91" w14:textId="77777777" w:rsidTr="00535882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0DE5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Mainīgās izmaksas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DF03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983,6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413F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C87A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-4,3%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F22C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910,9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5394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868,9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4D8D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-4,6%</w:t>
            </w:r>
          </w:p>
        </w:tc>
      </w:tr>
      <w:tr w:rsidR="00535882" w:rsidRPr="00535882" w14:paraId="36D1FEB4" w14:textId="77777777" w:rsidTr="00535882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686B" w14:textId="77777777" w:rsidR="00535882" w:rsidRPr="00535882" w:rsidRDefault="00535882" w:rsidP="0053588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Darba samaksa ar sociālo nodokli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A060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2BA4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DEDD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852D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CE5C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9668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</w:tr>
      <w:tr w:rsidR="00535882" w:rsidRPr="00535882" w14:paraId="6A438B9D" w14:textId="77777777" w:rsidTr="00535882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2106" w14:textId="77777777" w:rsidR="00535882" w:rsidRPr="00535882" w:rsidRDefault="00535882" w:rsidP="0053588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Iekārtu remontu un uzturēšanas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B0A7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EFD4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66EB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031D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CCA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CF46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</w:tr>
      <w:tr w:rsidR="00535882" w:rsidRPr="00535882" w14:paraId="62B6FA0C" w14:textId="77777777" w:rsidTr="00535882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869" w14:textId="77777777" w:rsidR="00535882" w:rsidRPr="00535882" w:rsidRDefault="00535882" w:rsidP="0053588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Pamatlīdzekļu nolietojums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8014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A9A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18AB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5732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1BC3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8C1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</w:tr>
      <w:tr w:rsidR="00535882" w:rsidRPr="00535882" w14:paraId="343AD924" w14:textId="77777777" w:rsidTr="00535882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9AD1" w14:textId="77777777" w:rsidR="00535882" w:rsidRPr="00535882" w:rsidRDefault="00535882" w:rsidP="0053588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Pārējās pastāvīgās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1273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AD67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2A47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A1CF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6EFE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FC95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</w:tr>
      <w:tr w:rsidR="00535882" w:rsidRPr="00535882" w14:paraId="001FAD65" w14:textId="77777777" w:rsidTr="00535882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FAF7" w14:textId="77777777" w:rsidR="00535882" w:rsidRPr="00535882" w:rsidRDefault="00535882" w:rsidP="0053588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Nekustamā īpašuma nodoklis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BB1B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F1CD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3AC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F8AD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FF5B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1F38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</w:tr>
      <w:tr w:rsidR="00535882" w:rsidRPr="00535882" w14:paraId="6F0D22A9" w14:textId="77777777" w:rsidTr="00535882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AD84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Pastāvīgās izmaksas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9924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C96E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226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86B1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1ACD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16E5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</w:tr>
      <w:tr w:rsidR="00535882" w:rsidRPr="00535882" w14:paraId="7FF4C5CA" w14:textId="77777777" w:rsidTr="00535882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9492" w14:textId="77777777" w:rsidR="00535882" w:rsidRPr="00535882" w:rsidRDefault="00535882" w:rsidP="0053588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Peļņa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8386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8764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EDC2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A91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9445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DB82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0%</w:t>
            </w:r>
          </w:p>
        </w:tc>
      </w:tr>
      <w:tr w:rsidR="00535882" w:rsidRPr="00535882" w14:paraId="2C5AA803" w14:textId="77777777" w:rsidTr="00535882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E618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Izmaksas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0F8C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25D5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2A28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-4,2%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08D7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931,5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DE73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889,56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9A0C" w14:textId="77777777" w:rsidR="00535882" w:rsidRPr="00535882" w:rsidRDefault="00535882" w:rsidP="0053588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535882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-4,5%</w:t>
            </w:r>
          </w:p>
        </w:tc>
      </w:tr>
    </w:tbl>
    <w:p w14:paraId="1A26981C" w14:textId="77777777" w:rsidR="00CF4898" w:rsidRPr="00AA05EC" w:rsidRDefault="00CF4898" w:rsidP="00CF4898">
      <w:pPr>
        <w:pStyle w:val="Default"/>
        <w:ind w:firstLine="720"/>
        <w:jc w:val="both"/>
      </w:pPr>
    </w:p>
    <w:p w14:paraId="55A639F8" w14:textId="77777777" w:rsidR="006E2B19" w:rsidRPr="00AA05EC" w:rsidRDefault="00CF4898" w:rsidP="00A331D4">
      <w:pPr>
        <w:pStyle w:val="Default"/>
        <w:ind w:firstLine="720"/>
        <w:jc w:val="both"/>
        <w:rPr>
          <w:bCs/>
        </w:rPr>
      </w:pPr>
      <w:r w:rsidRPr="00AA05EC">
        <w:t xml:space="preserve"> </w:t>
      </w:r>
      <w:r w:rsidR="006E2B19" w:rsidRPr="00AA05EC">
        <w:t xml:space="preserve">Lietotājiem nodotās siltumenerģijas apjoms ir </w:t>
      </w:r>
      <w:r w:rsidR="006D7243" w:rsidRPr="00AA05EC">
        <w:t xml:space="preserve"> </w:t>
      </w:r>
      <w:r w:rsidR="00364967" w:rsidRPr="00AA05EC">
        <w:t xml:space="preserve">16 472 </w:t>
      </w:r>
      <w:proofErr w:type="spellStart"/>
      <w:r w:rsidR="006E2B19" w:rsidRPr="00AA05EC">
        <w:t>MWh</w:t>
      </w:r>
      <w:proofErr w:type="spellEnd"/>
      <w:r w:rsidR="006E2B19" w:rsidRPr="00AA05EC">
        <w:t>.</w:t>
      </w:r>
    </w:p>
    <w:p w14:paraId="650ACA17" w14:textId="77777777" w:rsidR="00E1016A" w:rsidRPr="00AA05EC" w:rsidRDefault="00E1016A" w:rsidP="00E1016A">
      <w:pPr>
        <w:spacing w:line="320" w:lineRule="exact"/>
        <w:ind w:firstLine="720"/>
        <w:jc w:val="both"/>
        <w:rPr>
          <w:bCs/>
        </w:rPr>
      </w:pPr>
    </w:p>
    <w:p w14:paraId="59BE1A51" w14:textId="77777777" w:rsidR="00581B25" w:rsidRPr="00AA05EC" w:rsidRDefault="00581B25" w:rsidP="005B3530">
      <w:pPr>
        <w:pStyle w:val="Default"/>
        <w:rPr>
          <w:bCs/>
          <w:sz w:val="23"/>
          <w:szCs w:val="23"/>
        </w:rPr>
      </w:pPr>
    </w:p>
    <w:p w14:paraId="61DC2AF4" w14:textId="0E51FE71" w:rsidR="00581B25" w:rsidRPr="00AA05EC" w:rsidRDefault="00581B25" w:rsidP="005B3530">
      <w:pPr>
        <w:pStyle w:val="Default"/>
        <w:rPr>
          <w:bCs/>
          <w:i/>
          <w:sz w:val="23"/>
          <w:szCs w:val="23"/>
        </w:rPr>
      </w:pPr>
    </w:p>
    <w:p w14:paraId="5668C98D" w14:textId="77777777" w:rsidR="005C615C" w:rsidRPr="00AA05EC" w:rsidRDefault="005C615C" w:rsidP="005C615C">
      <w:pPr>
        <w:spacing w:line="320" w:lineRule="exact"/>
        <w:ind w:firstLine="720"/>
        <w:jc w:val="both"/>
        <w:rPr>
          <w:bCs/>
          <w:i/>
        </w:rPr>
      </w:pPr>
    </w:p>
    <w:p w14:paraId="0D090A2E" w14:textId="77777777" w:rsidR="005C615C" w:rsidRPr="00AA05EC" w:rsidRDefault="005C615C" w:rsidP="005C615C">
      <w:pPr>
        <w:spacing w:line="320" w:lineRule="exact"/>
        <w:ind w:firstLine="720"/>
        <w:jc w:val="both"/>
      </w:pPr>
    </w:p>
    <w:sectPr w:rsidR="005C615C" w:rsidRPr="00AA05EC" w:rsidSect="00FC022F">
      <w:footerReference w:type="default" r:id="rId8"/>
      <w:pgSz w:w="11906" w:h="16838"/>
      <w:pgMar w:top="851" w:right="1133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0C30" w14:textId="77777777" w:rsidR="007E25A9" w:rsidRDefault="007E25A9" w:rsidP="00FC022F">
      <w:r>
        <w:separator/>
      </w:r>
    </w:p>
  </w:endnote>
  <w:endnote w:type="continuationSeparator" w:id="0">
    <w:p w14:paraId="5FF92F35" w14:textId="77777777" w:rsidR="007E25A9" w:rsidRDefault="007E25A9" w:rsidP="00FC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4438615"/>
      <w:docPartObj>
        <w:docPartGallery w:val="Page Numbers (Bottom of Page)"/>
        <w:docPartUnique/>
      </w:docPartObj>
    </w:sdtPr>
    <w:sdtEndPr/>
    <w:sdtContent>
      <w:p w14:paraId="6C7200DE" w14:textId="77777777" w:rsidR="00FC022F" w:rsidRDefault="00FC022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848BF" w14:textId="77777777" w:rsidR="00FC022F" w:rsidRDefault="00FC02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84607" w14:textId="77777777" w:rsidR="007E25A9" w:rsidRDefault="007E25A9" w:rsidP="00FC022F">
      <w:r>
        <w:separator/>
      </w:r>
    </w:p>
  </w:footnote>
  <w:footnote w:type="continuationSeparator" w:id="0">
    <w:p w14:paraId="29D5074A" w14:textId="77777777" w:rsidR="007E25A9" w:rsidRDefault="007E25A9" w:rsidP="00FC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58C2"/>
    <w:multiLevelType w:val="hybridMultilevel"/>
    <w:tmpl w:val="071895F2"/>
    <w:lvl w:ilvl="0" w:tplc="5C5A4DE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756298"/>
    <w:multiLevelType w:val="hybridMultilevel"/>
    <w:tmpl w:val="C352D426"/>
    <w:lvl w:ilvl="0" w:tplc="769CC59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5E"/>
    <w:rsid w:val="0000493E"/>
    <w:rsid w:val="00011AC7"/>
    <w:rsid w:val="00041A54"/>
    <w:rsid w:val="00041EC4"/>
    <w:rsid w:val="00041FC1"/>
    <w:rsid w:val="00050683"/>
    <w:rsid w:val="0005122A"/>
    <w:rsid w:val="000540CD"/>
    <w:rsid w:val="0005449F"/>
    <w:rsid w:val="00054FA2"/>
    <w:rsid w:val="00067764"/>
    <w:rsid w:val="000A4C2A"/>
    <w:rsid w:val="000C4290"/>
    <w:rsid w:val="000D45BD"/>
    <w:rsid w:val="000D68B6"/>
    <w:rsid w:val="000E7FB7"/>
    <w:rsid w:val="000F2721"/>
    <w:rsid w:val="001157EB"/>
    <w:rsid w:val="00125D42"/>
    <w:rsid w:val="00134A84"/>
    <w:rsid w:val="001525E1"/>
    <w:rsid w:val="001600DF"/>
    <w:rsid w:val="00161DB3"/>
    <w:rsid w:val="0016790C"/>
    <w:rsid w:val="00173230"/>
    <w:rsid w:val="001932A3"/>
    <w:rsid w:val="001954FE"/>
    <w:rsid w:val="001C0F2A"/>
    <w:rsid w:val="001D3D23"/>
    <w:rsid w:val="001E22AC"/>
    <w:rsid w:val="001E4045"/>
    <w:rsid w:val="001F1E82"/>
    <w:rsid w:val="001F7A22"/>
    <w:rsid w:val="001F7FAE"/>
    <w:rsid w:val="002051DE"/>
    <w:rsid w:val="00227DFC"/>
    <w:rsid w:val="0025536A"/>
    <w:rsid w:val="002600F9"/>
    <w:rsid w:val="002657B2"/>
    <w:rsid w:val="00276B53"/>
    <w:rsid w:val="002818A6"/>
    <w:rsid w:val="00287C8E"/>
    <w:rsid w:val="0029330E"/>
    <w:rsid w:val="00296378"/>
    <w:rsid w:val="002A7801"/>
    <w:rsid w:val="002C57C4"/>
    <w:rsid w:val="002F6803"/>
    <w:rsid w:val="003102A1"/>
    <w:rsid w:val="003125B0"/>
    <w:rsid w:val="0031277E"/>
    <w:rsid w:val="00320440"/>
    <w:rsid w:val="0032665B"/>
    <w:rsid w:val="00332D81"/>
    <w:rsid w:val="00336853"/>
    <w:rsid w:val="003433C7"/>
    <w:rsid w:val="00346460"/>
    <w:rsid w:val="00361FF0"/>
    <w:rsid w:val="00364967"/>
    <w:rsid w:val="0037201C"/>
    <w:rsid w:val="00376E9D"/>
    <w:rsid w:val="00390366"/>
    <w:rsid w:val="00390638"/>
    <w:rsid w:val="003B0DF5"/>
    <w:rsid w:val="003C53F6"/>
    <w:rsid w:val="003D1826"/>
    <w:rsid w:val="003D5C18"/>
    <w:rsid w:val="003E12B5"/>
    <w:rsid w:val="003F1246"/>
    <w:rsid w:val="003F50E6"/>
    <w:rsid w:val="00403A51"/>
    <w:rsid w:val="00411200"/>
    <w:rsid w:val="00430F7E"/>
    <w:rsid w:val="00434B2D"/>
    <w:rsid w:val="00440E9B"/>
    <w:rsid w:val="0045051A"/>
    <w:rsid w:val="0046182D"/>
    <w:rsid w:val="004800EB"/>
    <w:rsid w:val="004B1D33"/>
    <w:rsid w:val="004B1E3E"/>
    <w:rsid w:val="004D6B38"/>
    <w:rsid w:val="004D7FD7"/>
    <w:rsid w:val="004E09B6"/>
    <w:rsid w:val="004E68FF"/>
    <w:rsid w:val="004F0DD1"/>
    <w:rsid w:val="004F2C93"/>
    <w:rsid w:val="0050582D"/>
    <w:rsid w:val="005071A9"/>
    <w:rsid w:val="00523BCB"/>
    <w:rsid w:val="00530787"/>
    <w:rsid w:val="00535882"/>
    <w:rsid w:val="00541844"/>
    <w:rsid w:val="00552359"/>
    <w:rsid w:val="00571D1E"/>
    <w:rsid w:val="005738C3"/>
    <w:rsid w:val="00581B25"/>
    <w:rsid w:val="005857C2"/>
    <w:rsid w:val="00587E8C"/>
    <w:rsid w:val="005931AB"/>
    <w:rsid w:val="005A1984"/>
    <w:rsid w:val="005B14AC"/>
    <w:rsid w:val="005B3530"/>
    <w:rsid w:val="005B35CC"/>
    <w:rsid w:val="005B4229"/>
    <w:rsid w:val="005C1175"/>
    <w:rsid w:val="005C615C"/>
    <w:rsid w:val="005D4D46"/>
    <w:rsid w:val="005D6099"/>
    <w:rsid w:val="005F6817"/>
    <w:rsid w:val="006018F8"/>
    <w:rsid w:val="00613A5D"/>
    <w:rsid w:val="00616191"/>
    <w:rsid w:val="00625061"/>
    <w:rsid w:val="00655FB3"/>
    <w:rsid w:val="0065789C"/>
    <w:rsid w:val="0066498E"/>
    <w:rsid w:val="0067274A"/>
    <w:rsid w:val="006761E5"/>
    <w:rsid w:val="00693BD5"/>
    <w:rsid w:val="0069520B"/>
    <w:rsid w:val="006B2567"/>
    <w:rsid w:val="006B618E"/>
    <w:rsid w:val="006C23FB"/>
    <w:rsid w:val="006D7243"/>
    <w:rsid w:val="006E2B19"/>
    <w:rsid w:val="006F2878"/>
    <w:rsid w:val="00700935"/>
    <w:rsid w:val="00700CF1"/>
    <w:rsid w:val="0071009B"/>
    <w:rsid w:val="00713A2C"/>
    <w:rsid w:val="0072081C"/>
    <w:rsid w:val="00723D83"/>
    <w:rsid w:val="00746880"/>
    <w:rsid w:val="007957E1"/>
    <w:rsid w:val="007A07AC"/>
    <w:rsid w:val="007B1492"/>
    <w:rsid w:val="007C377C"/>
    <w:rsid w:val="007E0EB4"/>
    <w:rsid w:val="007E25A9"/>
    <w:rsid w:val="00836202"/>
    <w:rsid w:val="00842C6A"/>
    <w:rsid w:val="00883F5C"/>
    <w:rsid w:val="00892897"/>
    <w:rsid w:val="008931D5"/>
    <w:rsid w:val="00894B1D"/>
    <w:rsid w:val="008A75B5"/>
    <w:rsid w:val="008D71FB"/>
    <w:rsid w:val="008F3DD0"/>
    <w:rsid w:val="00925134"/>
    <w:rsid w:val="009357F6"/>
    <w:rsid w:val="009445C0"/>
    <w:rsid w:val="00955962"/>
    <w:rsid w:val="00960B43"/>
    <w:rsid w:val="00963798"/>
    <w:rsid w:val="00966F41"/>
    <w:rsid w:val="00986775"/>
    <w:rsid w:val="009911C1"/>
    <w:rsid w:val="0099153F"/>
    <w:rsid w:val="00991CE0"/>
    <w:rsid w:val="0099522A"/>
    <w:rsid w:val="00995494"/>
    <w:rsid w:val="009B29AE"/>
    <w:rsid w:val="009E5CB5"/>
    <w:rsid w:val="00A0518C"/>
    <w:rsid w:val="00A331D4"/>
    <w:rsid w:val="00A3528D"/>
    <w:rsid w:val="00A4423D"/>
    <w:rsid w:val="00A5346E"/>
    <w:rsid w:val="00A63D1D"/>
    <w:rsid w:val="00A710DD"/>
    <w:rsid w:val="00A823C4"/>
    <w:rsid w:val="00A846E7"/>
    <w:rsid w:val="00A92919"/>
    <w:rsid w:val="00A97AD4"/>
    <w:rsid w:val="00AA05EC"/>
    <w:rsid w:val="00AA614B"/>
    <w:rsid w:val="00AA67E2"/>
    <w:rsid w:val="00AB6BA8"/>
    <w:rsid w:val="00AE1532"/>
    <w:rsid w:val="00AF533E"/>
    <w:rsid w:val="00B0760F"/>
    <w:rsid w:val="00B10DB6"/>
    <w:rsid w:val="00B13CD2"/>
    <w:rsid w:val="00B1618F"/>
    <w:rsid w:val="00B25F98"/>
    <w:rsid w:val="00B272AA"/>
    <w:rsid w:val="00B33A6F"/>
    <w:rsid w:val="00B53CE4"/>
    <w:rsid w:val="00B54AAC"/>
    <w:rsid w:val="00B563FE"/>
    <w:rsid w:val="00B66A7F"/>
    <w:rsid w:val="00BD2C7A"/>
    <w:rsid w:val="00C156A5"/>
    <w:rsid w:val="00C20CB6"/>
    <w:rsid w:val="00C2129E"/>
    <w:rsid w:val="00C23D60"/>
    <w:rsid w:val="00C32DBE"/>
    <w:rsid w:val="00C42E26"/>
    <w:rsid w:val="00C73E0B"/>
    <w:rsid w:val="00C82174"/>
    <w:rsid w:val="00C8695E"/>
    <w:rsid w:val="00CC2254"/>
    <w:rsid w:val="00CC4F16"/>
    <w:rsid w:val="00CD72B1"/>
    <w:rsid w:val="00CE7563"/>
    <w:rsid w:val="00CF2B75"/>
    <w:rsid w:val="00CF4898"/>
    <w:rsid w:val="00CF6E78"/>
    <w:rsid w:val="00D05F01"/>
    <w:rsid w:val="00D24B89"/>
    <w:rsid w:val="00D314E3"/>
    <w:rsid w:val="00D505D2"/>
    <w:rsid w:val="00D65559"/>
    <w:rsid w:val="00D70445"/>
    <w:rsid w:val="00D75EE9"/>
    <w:rsid w:val="00DB794E"/>
    <w:rsid w:val="00DC6108"/>
    <w:rsid w:val="00DF091F"/>
    <w:rsid w:val="00DF404D"/>
    <w:rsid w:val="00DF5D0A"/>
    <w:rsid w:val="00E079E7"/>
    <w:rsid w:val="00E1016A"/>
    <w:rsid w:val="00E42A7C"/>
    <w:rsid w:val="00E6792B"/>
    <w:rsid w:val="00E7561B"/>
    <w:rsid w:val="00E83973"/>
    <w:rsid w:val="00EA38D6"/>
    <w:rsid w:val="00EB72C3"/>
    <w:rsid w:val="00EC4C48"/>
    <w:rsid w:val="00EC6E65"/>
    <w:rsid w:val="00ED78D2"/>
    <w:rsid w:val="00EE48E4"/>
    <w:rsid w:val="00EF7EFC"/>
    <w:rsid w:val="00F038F6"/>
    <w:rsid w:val="00F556DD"/>
    <w:rsid w:val="00F60D09"/>
    <w:rsid w:val="00F63B65"/>
    <w:rsid w:val="00F65FB9"/>
    <w:rsid w:val="00F7470E"/>
    <w:rsid w:val="00F76E64"/>
    <w:rsid w:val="00F8187C"/>
    <w:rsid w:val="00FC022F"/>
    <w:rsid w:val="00FD2086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B3F4"/>
  <w15:chartTrackingRefBased/>
  <w15:docId w15:val="{99EDCCEF-3A58-474E-8AC0-A5A2931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8695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arakstarindkopa">
    <w:name w:val="List Paragraph"/>
    <w:basedOn w:val="Parasts"/>
    <w:uiPriority w:val="34"/>
    <w:qFormat/>
    <w:rsid w:val="005C615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7044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0445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rsid w:val="00054FA2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C022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C022F"/>
  </w:style>
  <w:style w:type="paragraph" w:styleId="Kjene">
    <w:name w:val="footer"/>
    <w:basedOn w:val="Parasts"/>
    <w:link w:val="KjeneRakstz"/>
    <w:uiPriority w:val="99"/>
    <w:unhideWhenUsed/>
    <w:rsid w:val="00FC022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C022F"/>
  </w:style>
  <w:style w:type="character" w:styleId="Komentraatsauce">
    <w:name w:val="annotation reference"/>
    <w:basedOn w:val="Noklusjumarindkopasfonts"/>
    <w:uiPriority w:val="99"/>
    <w:semiHidden/>
    <w:unhideWhenUsed/>
    <w:rsid w:val="0072081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08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081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08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0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15E7-9715-48D7-A33D-EAC1A17D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Aiva Dreija</cp:lastModifiedBy>
  <cp:revision>3</cp:revision>
  <cp:lastPrinted>2017-01-03T09:02:00Z</cp:lastPrinted>
  <dcterms:created xsi:type="dcterms:W3CDTF">2020-10-20T06:52:00Z</dcterms:created>
  <dcterms:modified xsi:type="dcterms:W3CDTF">2020-10-20T06:53:00Z</dcterms:modified>
</cp:coreProperties>
</file>